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660DD74"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4C2C27">
        <w:rPr>
          <w:bCs/>
          <w:noProof w:val="0"/>
          <w:sz w:val="24"/>
          <w:szCs w:val="24"/>
        </w:rPr>
        <w:t>17687</w:t>
      </w:r>
    </w:p>
    <w:p w14:paraId="231362B2" w14:textId="3ED83A17" w:rsidR="00CD4C7B" w:rsidRPr="0069266C" w:rsidRDefault="00CB72B8" w:rsidP="00CD4C7B">
      <w:pPr>
        <w:pStyle w:val="Header"/>
        <w:tabs>
          <w:tab w:val="right" w:pos="9639"/>
        </w:tabs>
        <w:rPr>
          <w:bCs/>
          <w:noProof w:val="0"/>
          <w:sz w:val="24"/>
          <w:szCs w:val="24"/>
          <w:lang w:val="de-DE"/>
        </w:rPr>
      </w:pPr>
      <w:r w:rsidRPr="0069266C">
        <w:rPr>
          <w:rFonts w:eastAsia="SimSun"/>
          <w:noProof w:val="0"/>
          <w:sz w:val="24"/>
          <w:szCs w:val="24"/>
          <w:lang w:val="de-DE" w:eastAsia="zh-CN"/>
        </w:rPr>
        <w:t>Spokane, USA</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12</w:t>
      </w:r>
      <w:r w:rsidR="008F396F" w:rsidRPr="0069266C">
        <w:rPr>
          <w:rFonts w:eastAsia="SimSun"/>
          <w:noProof w:val="0"/>
          <w:sz w:val="24"/>
          <w:szCs w:val="24"/>
          <w:lang w:val="de-DE" w:eastAsia="zh-CN"/>
        </w:rPr>
        <w:t xml:space="preserve"> - </w:t>
      </w:r>
      <w:r w:rsidRPr="0069266C">
        <w:rPr>
          <w:rFonts w:eastAsia="SimSun"/>
          <w:noProof w:val="0"/>
          <w:sz w:val="24"/>
          <w:szCs w:val="24"/>
          <w:lang w:val="de-DE" w:eastAsia="zh-CN"/>
        </w:rPr>
        <w:t>16</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November</w:t>
      </w:r>
      <w:r w:rsidR="008F396F" w:rsidRPr="0069266C">
        <w:rPr>
          <w:rFonts w:eastAsia="SimSun"/>
          <w:noProof w:val="0"/>
          <w:sz w:val="24"/>
          <w:szCs w:val="24"/>
          <w:lang w:val="de-DE" w:eastAsia="zh-CN"/>
        </w:rPr>
        <w:t xml:space="preserve"> 2018</w:t>
      </w:r>
      <w:r w:rsidR="00364B41" w:rsidRPr="0069266C">
        <w:rPr>
          <w:rFonts w:eastAsia="SimSun"/>
          <w:noProof w:val="0"/>
          <w:sz w:val="24"/>
          <w:szCs w:val="24"/>
          <w:lang w:val="de-DE" w:eastAsia="zh-CN"/>
        </w:rPr>
        <w:tab/>
      </w:r>
    </w:p>
    <w:p w14:paraId="39BE00F6" w14:textId="77777777" w:rsidR="00CD4C7B" w:rsidRPr="0069266C" w:rsidRDefault="00CD4C7B" w:rsidP="00CD4C7B">
      <w:pPr>
        <w:pStyle w:val="Header"/>
        <w:rPr>
          <w:bCs/>
          <w:noProof w:val="0"/>
          <w:sz w:val="24"/>
          <w:lang w:val="de-DE"/>
        </w:rPr>
      </w:pPr>
    </w:p>
    <w:p w14:paraId="49379CFB" w14:textId="77777777" w:rsidR="00CD4C7B" w:rsidRPr="0069266C" w:rsidRDefault="00CD4C7B" w:rsidP="00CD4C7B">
      <w:pPr>
        <w:pStyle w:val="Header"/>
        <w:rPr>
          <w:bCs/>
          <w:noProof w:val="0"/>
          <w:sz w:val="24"/>
          <w:lang w:val="de-DE"/>
        </w:rPr>
      </w:pPr>
    </w:p>
    <w:p w14:paraId="758E2B30" w14:textId="2FFB7A3A" w:rsidR="00CD4C7B" w:rsidRPr="0069266C" w:rsidRDefault="00CD4C7B" w:rsidP="00CD4C7B">
      <w:pPr>
        <w:pStyle w:val="CRCoverPage"/>
        <w:tabs>
          <w:tab w:val="left" w:pos="1985"/>
        </w:tabs>
        <w:rPr>
          <w:rFonts w:cs="Arial"/>
          <w:b/>
          <w:bCs/>
          <w:sz w:val="24"/>
          <w:lang w:val="de-DE" w:eastAsia="ja-JP"/>
        </w:rPr>
      </w:pPr>
      <w:r w:rsidRPr="0069266C">
        <w:rPr>
          <w:rFonts w:cs="Arial"/>
          <w:b/>
          <w:bCs/>
          <w:sz w:val="24"/>
          <w:lang w:val="de-DE"/>
        </w:rPr>
        <w:t>Agenda item:</w:t>
      </w:r>
      <w:r w:rsidRPr="0069266C">
        <w:rPr>
          <w:rFonts w:cs="Arial"/>
          <w:b/>
          <w:bCs/>
          <w:sz w:val="24"/>
          <w:lang w:val="de-DE"/>
        </w:rPr>
        <w:tab/>
      </w:r>
      <w:r w:rsidR="007767EC">
        <w:rPr>
          <w:rFonts w:cs="Arial"/>
          <w:b/>
          <w:bCs/>
          <w:sz w:val="24"/>
          <w:lang w:val="de-DE" w:eastAsia="ja-JP"/>
        </w:rPr>
        <w:t>12</w:t>
      </w:r>
      <w:r w:rsidR="002747EC" w:rsidRPr="0069266C">
        <w:rPr>
          <w:rFonts w:cs="Arial"/>
          <w:b/>
          <w:bCs/>
          <w:sz w:val="24"/>
          <w:lang w:val="de-DE" w:eastAsia="ja-JP"/>
        </w:rPr>
        <w:t>.</w:t>
      </w:r>
      <w:r w:rsidR="007767EC">
        <w:rPr>
          <w:rFonts w:cs="Arial"/>
          <w:b/>
          <w:bCs/>
          <w:sz w:val="24"/>
          <w:lang w:val="de-DE" w:eastAsia="ja-JP"/>
        </w:rPr>
        <w:t>3</w:t>
      </w:r>
      <w:r w:rsidR="002747EC" w:rsidRPr="0069266C">
        <w:rPr>
          <w:rFonts w:cs="Arial"/>
          <w:b/>
          <w:bCs/>
          <w:sz w:val="24"/>
          <w:lang w:val="de-DE" w:eastAsia="ja-JP"/>
        </w:rPr>
        <w:t>.</w:t>
      </w:r>
      <w:r w:rsidR="007767EC">
        <w:rPr>
          <w:rFonts w:cs="Arial"/>
          <w:b/>
          <w:bCs/>
          <w:sz w:val="24"/>
          <w:lang w:val="de-DE"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840486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0D2C">
        <w:rPr>
          <w:rFonts w:ascii="Arial" w:hAnsi="Arial" w:cs="Arial"/>
          <w:b/>
          <w:bCs/>
          <w:sz w:val="24"/>
        </w:rPr>
        <w:t xml:space="preserve">Performance of </w:t>
      </w:r>
      <w:r w:rsidR="00EA39ED">
        <w:rPr>
          <w:rFonts w:ascii="Arial" w:hAnsi="Arial" w:cs="Arial"/>
          <w:b/>
          <w:bCs/>
          <w:sz w:val="24"/>
        </w:rPr>
        <w:t>C</w:t>
      </w:r>
      <w:r w:rsidR="004F380C">
        <w:rPr>
          <w:rFonts w:ascii="Arial" w:hAnsi="Arial" w:cs="Arial"/>
          <w:b/>
          <w:bCs/>
          <w:sz w:val="24"/>
        </w:rPr>
        <w:t xml:space="preserve">onditional </w:t>
      </w:r>
      <w:r w:rsidR="00EA39ED">
        <w:rPr>
          <w:rFonts w:ascii="Arial" w:hAnsi="Arial" w:cs="Arial"/>
          <w:b/>
          <w:bCs/>
          <w:sz w:val="24"/>
        </w:rPr>
        <w:t>H</w:t>
      </w:r>
      <w:r w:rsidR="004F380C">
        <w:rPr>
          <w:rFonts w:ascii="Arial" w:hAnsi="Arial" w:cs="Arial"/>
          <w:b/>
          <w:bCs/>
          <w:sz w:val="24"/>
        </w:rPr>
        <w:t>andover</w:t>
      </w:r>
      <w:r w:rsidR="00EA39ED">
        <w:rPr>
          <w:rFonts w:ascii="Arial" w:hAnsi="Arial" w:cs="Arial"/>
          <w:b/>
          <w:bCs/>
          <w:sz w:val="24"/>
        </w:rPr>
        <w:t xml:space="preserve"> – simulation results</w:t>
      </w:r>
    </w:p>
    <w:p w14:paraId="3AC3A0B1" w14:textId="7A6EF3E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67EC" w:rsidRPr="00FF3ADB">
        <w:rPr>
          <w:rFonts w:ascii="Arial" w:hAnsi="Arial" w:cs="Arial"/>
          <w:b/>
          <w:bCs/>
          <w:sz w:val="24"/>
        </w:rPr>
        <w:t>LTE_feMob-Core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767EC">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FE5AB36" w:rsidR="00CD4C7B" w:rsidRDefault="00150964" w:rsidP="00CD4C7B">
      <w:r>
        <w:t>In RAN2#103bis, the following was agreed durin</w:t>
      </w:r>
      <w:commentRangeStart w:id="0"/>
      <w:commentRangeEnd w:id="0"/>
      <w:r>
        <w:t xml:space="preserve">g the discussion on enhancing mobility robustness </w:t>
      </w:r>
      <w:r>
        <w:fldChar w:fldCharType="begin"/>
      </w:r>
      <w:r>
        <w:instrText xml:space="preserve"> REF _Ref527735128 \r \h </w:instrText>
      </w:r>
      <w:r>
        <w:fldChar w:fldCharType="separate"/>
      </w:r>
      <w:r>
        <w:t>[1]</w:t>
      </w:r>
      <w:r>
        <w:fldChar w:fldCharType="end"/>
      </w:r>
      <w:r>
        <w:t>:</w:t>
      </w:r>
    </w:p>
    <w:p w14:paraId="6171CF29" w14:textId="77777777" w:rsidR="00113A2E" w:rsidRDefault="00113A2E" w:rsidP="004C2C27">
      <w:pPr>
        <w:pStyle w:val="Doc-text2"/>
        <w:pBdr>
          <w:top w:val="single" w:sz="4" w:space="1" w:color="auto"/>
          <w:left w:val="single" w:sz="4" w:space="31" w:color="auto"/>
          <w:bottom w:val="single" w:sz="4" w:space="1" w:color="auto"/>
          <w:right w:val="single" w:sz="4" w:space="4" w:color="auto"/>
        </w:pBdr>
      </w:pPr>
      <w:r>
        <w:t>Agreements</w:t>
      </w:r>
    </w:p>
    <w:p w14:paraId="66254DD4" w14:textId="77777777" w:rsidR="00113A2E" w:rsidRDefault="00113A2E" w:rsidP="004C2C27">
      <w:pPr>
        <w:pStyle w:val="Doc-text2"/>
        <w:pBdr>
          <w:top w:val="single" w:sz="4" w:space="1" w:color="auto"/>
          <w:left w:val="single" w:sz="4" w:space="31" w:color="auto"/>
          <w:bottom w:val="single" w:sz="4" w:space="1" w:color="auto"/>
          <w:right w:val="single" w:sz="4" w:space="4" w:color="auto"/>
        </w:pBdr>
      </w:pPr>
    </w:p>
    <w:p w14:paraId="4027BA79" w14:textId="77777777" w:rsidR="00113A2E" w:rsidRDefault="00113A2E" w:rsidP="004C2C27">
      <w:pPr>
        <w:pStyle w:val="Doc-text2"/>
        <w:pBdr>
          <w:top w:val="single" w:sz="4" w:space="1" w:color="auto"/>
          <w:left w:val="single" w:sz="4" w:space="31" w:color="auto"/>
          <w:bottom w:val="single" w:sz="4" w:space="1" w:color="auto"/>
          <w:right w:val="single" w:sz="4" w:space="4" w:color="auto"/>
        </w:pBdr>
      </w:pPr>
      <w:r>
        <w:t xml:space="preserve">1 </w:t>
      </w:r>
      <w:r>
        <w:tab/>
      </w:r>
      <w:r>
        <w:t>Evaluate new solutions compared to LTE Re-15 mechanisms.</w:t>
      </w:r>
    </w:p>
    <w:p w14:paraId="4F29827B" w14:textId="18E607B1" w:rsidR="00113A2E" w:rsidRDefault="00113A2E" w:rsidP="00113A2E">
      <w:pPr>
        <w:pStyle w:val="Doc-text2"/>
        <w:ind w:left="0" w:firstLine="0"/>
      </w:pPr>
    </w:p>
    <w:p w14:paraId="45335499" w14:textId="7BD6C94C" w:rsidR="00113A2E" w:rsidRPr="00052E9F" w:rsidRDefault="00150964" w:rsidP="3223E262">
      <w:pPr>
        <w:pStyle w:val="Doc-text2"/>
        <w:ind w:left="0" w:firstLine="0"/>
        <w:rPr>
          <w:rFonts w:ascii="Times New Roman" w:hAnsi="Times New Roman" w:cs="Times New Roman"/>
        </w:rPr>
      </w:pPr>
      <w:r w:rsidRPr="00052E9F">
        <w:rPr>
          <w:rFonts w:ascii="Times New Roman" w:hAnsi="Times New Roman" w:cs="Times New Roman"/>
        </w:rPr>
        <w:t xml:space="preserve">In this contribution, we </w:t>
      </w:r>
      <w:r w:rsidR="00EB4C6D">
        <w:rPr>
          <w:rFonts w:ascii="Times New Roman" w:hAnsi="Times New Roman" w:cs="Times New Roman"/>
        </w:rPr>
        <w:t xml:space="preserve">present and analyse CHO </w:t>
      </w:r>
      <w:r w:rsidR="00052E9F">
        <w:rPr>
          <w:rFonts w:ascii="Times New Roman" w:hAnsi="Times New Roman" w:cs="Times New Roman"/>
        </w:rPr>
        <w:t>simulation results to assess the potential benefits, and the sensitivity against certain assumptions. The simulation results have been published in</w:t>
      </w:r>
      <w:r w:rsidR="00EB4C6D">
        <w:rPr>
          <w:rFonts w:ascii="Times New Roman" w:hAnsi="Times New Roman" w:cs="Times New Roman"/>
        </w:rPr>
        <w:t xml:space="preserve"> </w:t>
      </w:r>
      <w:r w:rsidR="00EB4C6D">
        <w:rPr>
          <w:rFonts w:ascii="Times New Roman" w:hAnsi="Times New Roman" w:cs="Times New Roman"/>
        </w:rPr>
        <w:fldChar w:fldCharType="begin"/>
      </w:r>
      <w:r w:rsidR="00EB4C6D">
        <w:rPr>
          <w:rFonts w:ascii="Times New Roman" w:hAnsi="Times New Roman" w:cs="Times New Roman"/>
        </w:rPr>
        <w:instrText xml:space="preserve"> REF _Ref525555053 \r \h </w:instrText>
      </w:r>
      <w:r w:rsidR="00EB4C6D">
        <w:rPr>
          <w:rFonts w:ascii="Times New Roman" w:hAnsi="Times New Roman" w:cs="Times New Roman"/>
        </w:rPr>
      </w:r>
      <w:r w:rsidR="00EB4C6D">
        <w:rPr>
          <w:rFonts w:ascii="Times New Roman" w:hAnsi="Times New Roman" w:cs="Times New Roman"/>
        </w:rPr>
        <w:fldChar w:fldCharType="separate"/>
      </w:r>
      <w:r w:rsidR="00EB4C6D">
        <w:rPr>
          <w:rFonts w:ascii="Times New Roman" w:hAnsi="Times New Roman" w:cs="Times New Roman"/>
        </w:rPr>
        <w:t>[2]</w:t>
      </w:r>
      <w:r w:rsidR="00EB4C6D">
        <w:rPr>
          <w:rFonts w:ascii="Times New Roman" w:hAnsi="Times New Roman" w:cs="Times New Roman"/>
        </w:rPr>
        <w:fldChar w:fldCharType="end"/>
      </w:r>
      <w:r w:rsidR="00052E9F">
        <w:rPr>
          <w:rFonts w:ascii="Times New Roman" w:hAnsi="Times New Roman" w:cs="Times New Roman"/>
        </w:rPr>
        <w:t>.</w:t>
      </w:r>
      <w:r w:rsidR="00EC6C2B">
        <w:rPr>
          <w:rFonts w:ascii="Times New Roman" w:hAnsi="Times New Roman" w:cs="Times New Roman"/>
        </w:rPr>
        <w:t xml:space="preserve"> We also compare the results with </w:t>
      </w:r>
      <w:r w:rsidR="00F65334">
        <w:rPr>
          <w:rFonts w:ascii="Times New Roman" w:hAnsi="Times New Roman" w:cs="Times New Roman"/>
        </w:rPr>
        <w:t>Rel</w:t>
      </w:r>
      <w:r w:rsidR="00EB4C6D">
        <w:rPr>
          <w:rFonts w:ascii="Times New Roman" w:hAnsi="Times New Roman" w:cs="Times New Roman"/>
        </w:rPr>
        <w:t>-</w:t>
      </w:r>
      <w:r w:rsidR="00F65334">
        <w:rPr>
          <w:rFonts w:ascii="Times New Roman" w:hAnsi="Times New Roman" w:cs="Times New Roman"/>
        </w:rPr>
        <w:t>9</w:t>
      </w:r>
      <w:r w:rsidR="005B680C">
        <w:rPr>
          <w:rFonts w:ascii="Times New Roman" w:hAnsi="Times New Roman" w:cs="Times New Roman"/>
        </w:rPr>
        <w:t xml:space="preserve"> Mobility Robustness Optimization</w:t>
      </w:r>
      <w:r w:rsidR="00F65334">
        <w:rPr>
          <w:rFonts w:ascii="Times New Roman" w:hAnsi="Times New Roman" w:cs="Times New Roman"/>
        </w:rPr>
        <w:t xml:space="preserve"> </w:t>
      </w:r>
      <w:r w:rsidR="005B680C">
        <w:rPr>
          <w:rFonts w:ascii="Times New Roman" w:hAnsi="Times New Roman" w:cs="Times New Roman"/>
        </w:rPr>
        <w:t>(</w:t>
      </w:r>
      <w:r w:rsidR="00EC6C2B">
        <w:rPr>
          <w:rFonts w:ascii="Times New Roman" w:hAnsi="Times New Roman" w:cs="Times New Roman"/>
        </w:rPr>
        <w:t>MRO</w:t>
      </w:r>
      <w:r w:rsidR="005B680C">
        <w:rPr>
          <w:rFonts w:ascii="Times New Roman" w:hAnsi="Times New Roman" w:cs="Times New Roman"/>
        </w:rPr>
        <w:t>)</w:t>
      </w:r>
      <w:r w:rsidR="00EC6C2B">
        <w:rPr>
          <w:rFonts w:ascii="Times New Roman" w:hAnsi="Times New Roman" w:cs="Times New Roman"/>
        </w:rPr>
        <w:t xml:space="preserve"> results.</w:t>
      </w:r>
    </w:p>
    <w:p w14:paraId="127ACA6D" w14:textId="015C2D2F" w:rsidR="00CD4C7B" w:rsidRPr="006E13D1" w:rsidRDefault="00CD4C7B" w:rsidP="00CD4C7B">
      <w:pPr>
        <w:pStyle w:val="Heading1"/>
      </w:pPr>
      <w:r w:rsidRPr="006E13D1">
        <w:t>2</w:t>
      </w:r>
      <w:r w:rsidRPr="006E13D1">
        <w:tab/>
      </w:r>
      <w:r w:rsidR="00EA39ED">
        <w:t>Simulation Assumptions</w:t>
      </w:r>
    </w:p>
    <w:p w14:paraId="5E65E002" w14:textId="5BEC78C3" w:rsidR="00DA096C" w:rsidRPr="006E13D1" w:rsidRDefault="00DA096C" w:rsidP="00DA096C">
      <w:pPr>
        <w:pStyle w:val="Heading2"/>
      </w:pPr>
      <w:r>
        <w:t>2</w:t>
      </w:r>
      <w:r w:rsidRPr="006E13D1">
        <w:t>.1</w:t>
      </w:r>
      <w:r w:rsidRPr="006E13D1">
        <w:tab/>
      </w:r>
      <w:r>
        <w:t>Scenario</w:t>
      </w:r>
    </w:p>
    <w:p w14:paraId="3884F67D" w14:textId="5B9CAB4D" w:rsidR="00CD4C7B" w:rsidRDefault="00C272F7" w:rsidP="001B49C9">
      <w:r>
        <w:t>For the mobility simulations presented below, we assume a Madrid grid as proposed in the METIS project</w:t>
      </w:r>
      <w:r w:rsidR="003E44CB">
        <w:t xml:space="preserve"> </w:t>
      </w:r>
      <w:r w:rsidR="003E44CB">
        <w:fldChar w:fldCharType="begin"/>
      </w:r>
      <w:r w:rsidR="003E44CB">
        <w:instrText xml:space="preserve"> REF _Ref528073680 \r \h </w:instrText>
      </w:r>
      <w:r w:rsidR="003E44CB">
        <w:fldChar w:fldCharType="separate"/>
      </w:r>
      <w:r w:rsidR="003E44CB">
        <w:t>[3]</w:t>
      </w:r>
      <w:r w:rsidR="003E44CB">
        <w:fldChar w:fldCharType="end"/>
      </w:r>
      <w:r>
        <w:t xml:space="preserve">. </w:t>
      </w:r>
      <w:r w:rsidR="0072480D">
        <w:t xml:space="preserve">Base stations are mounted on roof tops and serve 120° sectorized cells. Antenna locations are illustrated in the figure below. </w:t>
      </w:r>
      <w:r>
        <w:t>UEs move with 30km/h in streets</w:t>
      </w:r>
      <w:r w:rsidR="0072480D">
        <w:t xml:space="preserve"> (purple)</w:t>
      </w:r>
      <w:r>
        <w:t xml:space="preserve">, and with 3km/h in pedestrian areas </w:t>
      </w:r>
      <w:r w:rsidR="0072480D">
        <w:t xml:space="preserve">(blue) </w:t>
      </w:r>
      <w:r>
        <w:t>and open areas</w:t>
      </w:r>
      <w:r w:rsidR="0072480D">
        <w:t xml:space="preserve"> (green)</w:t>
      </w:r>
      <w:r>
        <w:t>. That is, we are assuming a scenario with mixed velocity</w:t>
      </w:r>
      <w:r w:rsidR="0072480D">
        <w:t xml:space="preserve"> to make it more realistic</w:t>
      </w:r>
      <w:r>
        <w:t>.</w:t>
      </w:r>
      <w:r w:rsidR="007258CD">
        <w:t xml:space="preserve"> </w:t>
      </w:r>
    </w:p>
    <w:p w14:paraId="680ACA5D" w14:textId="4CEEED35" w:rsidR="007258CD" w:rsidRDefault="007258CD" w:rsidP="00113A2E">
      <w:pPr>
        <w:jc w:val="center"/>
      </w:pPr>
      <w:r>
        <w:rPr>
          <w:noProof/>
        </w:rPr>
        <w:drawing>
          <wp:inline distT="0" distB="0" distL="0" distR="0" wp14:anchorId="050EE91E" wp14:editId="704C74B5">
            <wp:extent cx="5744846" cy="1760371"/>
            <wp:effectExtent l="0" t="0" r="8255" b="0"/>
            <wp:docPr id="19039631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44846" cy="1760371"/>
                    </a:xfrm>
                    <a:prstGeom prst="rect">
                      <a:avLst/>
                    </a:prstGeom>
                  </pic:spPr>
                </pic:pic>
              </a:graphicData>
            </a:graphic>
          </wp:inline>
        </w:drawing>
      </w:r>
    </w:p>
    <w:p w14:paraId="17B45271" w14:textId="4D8E9E5D" w:rsidR="00113A2E" w:rsidRPr="00295F4C" w:rsidRDefault="00113A2E" w:rsidP="00113A2E">
      <w:pPr>
        <w:pStyle w:val="TF"/>
        <w:rPr>
          <w:rFonts w:cs="Arial"/>
        </w:rPr>
      </w:pPr>
      <w:r w:rsidRPr="00D21C32">
        <w:rPr>
          <w:rFonts w:cs="Arial"/>
        </w:rPr>
        <w:t xml:space="preserve">Figure </w:t>
      </w:r>
      <w:r w:rsidR="003E44CB" w:rsidRPr="00D21C32">
        <w:rPr>
          <w:rFonts w:cs="Arial"/>
        </w:rPr>
        <w:t>1</w:t>
      </w:r>
      <w:r w:rsidRPr="00D21C32">
        <w:rPr>
          <w:rFonts w:cs="Arial"/>
        </w:rPr>
        <w:t xml:space="preserve">: Simulation </w:t>
      </w:r>
      <w:r w:rsidR="00810D33">
        <w:rPr>
          <w:rFonts w:cs="Arial"/>
        </w:rPr>
        <w:t>environment:</w:t>
      </w:r>
      <w:r w:rsidRPr="00D21C32">
        <w:rPr>
          <w:rFonts w:cs="Arial"/>
        </w:rPr>
        <w:t xml:space="preserve"> </w:t>
      </w:r>
      <w:r w:rsidR="00810D33">
        <w:rPr>
          <w:rFonts w:cs="Arial"/>
        </w:rPr>
        <w:t>Madrid grid (METIS project)</w:t>
      </w:r>
    </w:p>
    <w:p w14:paraId="7BCB8A0C" w14:textId="7F33C640" w:rsidR="00113A2E" w:rsidRDefault="00113A2E" w:rsidP="00113A2E">
      <w:r>
        <w:t>The most relevant simulation parameters are provided in the table below.</w:t>
      </w:r>
    </w:p>
    <w:p w14:paraId="6EA22D58" w14:textId="77777777" w:rsidR="003E44CB" w:rsidRDefault="003E44CB" w:rsidP="00113A2E"/>
    <w:p w14:paraId="5EFCBC01" w14:textId="77777777" w:rsidR="00785757" w:rsidRDefault="00785757" w:rsidP="00113A2E"/>
    <w:p w14:paraId="4C5F74AF" w14:textId="77777777" w:rsidR="00785757" w:rsidRDefault="00785757" w:rsidP="00113A2E"/>
    <w:p w14:paraId="3F5DBEB3" w14:textId="77777777" w:rsidR="00785757" w:rsidRDefault="00785757" w:rsidP="00113A2E"/>
    <w:p w14:paraId="4472788C" w14:textId="1A132078" w:rsidR="00CB0559" w:rsidRPr="006E13D1" w:rsidRDefault="00CB0559" w:rsidP="00CB0559">
      <w:pPr>
        <w:pStyle w:val="TH"/>
      </w:pPr>
      <w:r>
        <w:lastRenderedPageBreak/>
        <w:t>Table I: Simulation parameters</w:t>
      </w:r>
    </w:p>
    <w:tbl>
      <w:tblPr>
        <w:tblStyle w:val="TableGrid"/>
        <w:tblW w:w="0" w:type="auto"/>
        <w:jc w:val="center"/>
        <w:tblLook w:val="04A0" w:firstRow="1" w:lastRow="0" w:firstColumn="1" w:lastColumn="0" w:noHBand="0" w:noVBand="1"/>
      </w:tblPr>
      <w:tblGrid>
        <w:gridCol w:w="1838"/>
        <w:gridCol w:w="992"/>
      </w:tblGrid>
      <w:tr w:rsidR="00113A2E" w14:paraId="137A3463" w14:textId="77777777" w:rsidTr="00113A2E">
        <w:trPr>
          <w:jc w:val="center"/>
        </w:trPr>
        <w:tc>
          <w:tcPr>
            <w:tcW w:w="1838" w:type="dxa"/>
            <w:vAlign w:val="center"/>
          </w:tcPr>
          <w:p w14:paraId="433206CC" w14:textId="344C8131" w:rsidR="00113A2E" w:rsidRDefault="00113A2E" w:rsidP="00113A2E">
            <w:pPr>
              <w:spacing w:after="0"/>
            </w:pPr>
            <w:r>
              <w:t>Time to trigger</w:t>
            </w:r>
          </w:p>
        </w:tc>
        <w:tc>
          <w:tcPr>
            <w:tcW w:w="992" w:type="dxa"/>
            <w:vAlign w:val="center"/>
          </w:tcPr>
          <w:p w14:paraId="713B856A" w14:textId="6B3AEC86" w:rsidR="00113A2E" w:rsidRDefault="00113A2E" w:rsidP="00113A2E">
            <w:pPr>
              <w:spacing w:after="0"/>
              <w:jc w:val="center"/>
            </w:pPr>
            <w:r>
              <w:t>120</w:t>
            </w:r>
            <w:r w:rsidR="00295F4C">
              <w:t xml:space="preserve"> </w:t>
            </w:r>
            <w:r>
              <w:t>ms</w:t>
            </w:r>
          </w:p>
        </w:tc>
      </w:tr>
      <w:tr w:rsidR="00113A2E" w14:paraId="74A73FFA" w14:textId="77777777" w:rsidTr="00113A2E">
        <w:trPr>
          <w:jc w:val="center"/>
        </w:trPr>
        <w:tc>
          <w:tcPr>
            <w:tcW w:w="1838" w:type="dxa"/>
            <w:vAlign w:val="center"/>
          </w:tcPr>
          <w:p w14:paraId="52387DA0" w14:textId="12CB26F4" w:rsidR="00113A2E" w:rsidRDefault="00113A2E" w:rsidP="00113A2E">
            <w:pPr>
              <w:spacing w:after="0"/>
            </w:pPr>
            <w:r>
              <w:t>Filter coefficient</w:t>
            </w:r>
          </w:p>
        </w:tc>
        <w:tc>
          <w:tcPr>
            <w:tcW w:w="992" w:type="dxa"/>
            <w:vAlign w:val="center"/>
          </w:tcPr>
          <w:p w14:paraId="5C383DC9" w14:textId="613B51C1" w:rsidR="00113A2E" w:rsidRDefault="00113A2E" w:rsidP="00113A2E">
            <w:pPr>
              <w:spacing w:after="0"/>
              <w:jc w:val="center"/>
            </w:pPr>
            <w:r>
              <w:t>4</w:t>
            </w:r>
          </w:p>
        </w:tc>
      </w:tr>
      <w:tr w:rsidR="00113A2E" w14:paraId="160EB669" w14:textId="77777777" w:rsidTr="00113A2E">
        <w:trPr>
          <w:jc w:val="center"/>
        </w:trPr>
        <w:tc>
          <w:tcPr>
            <w:tcW w:w="1838" w:type="dxa"/>
            <w:vAlign w:val="center"/>
          </w:tcPr>
          <w:p w14:paraId="4F4E529B" w14:textId="0EB4ABAB" w:rsidR="00113A2E" w:rsidRDefault="00113A2E" w:rsidP="00113A2E">
            <w:pPr>
              <w:spacing w:after="0"/>
            </w:pPr>
            <w:r>
              <w:t>Legacy HO margin</w:t>
            </w:r>
          </w:p>
        </w:tc>
        <w:tc>
          <w:tcPr>
            <w:tcW w:w="992" w:type="dxa"/>
            <w:vAlign w:val="center"/>
          </w:tcPr>
          <w:p w14:paraId="0AC3D6A9" w14:textId="1143A5C3" w:rsidR="00113A2E" w:rsidRDefault="00113A2E" w:rsidP="00113A2E">
            <w:pPr>
              <w:spacing w:after="0"/>
              <w:jc w:val="center"/>
            </w:pPr>
            <w:r>
              <w:t>3</w:t>
            </w:r>
            <w:r w:rsidR="00295F4C">
              <w:t xml:space="preserve"> </w:t>
            </w:r>
            <w:r>
              <w:t>dB</w:t>
            </w:r>
          </w:p>
        </w:tc>
      </w:tr>
      <w:tr w:rsidR="00113A2E" w14:paraId="0989D4D3" w14:textId="77777777" w:rsidTr="00113A2E">
        <w:trPr>
          <w:jc w:val="center"/>
        </w:trPr>
        <w:tc>
          <w:tcPr>
            <w:tcW w:w="1838" w:type="dxa"/>
            <w:vAlign w:val="center"/>
          </w:tcPr>
          <w:p w14:paraId="4D78A9A5" w14:textId="6AA4BB4E" w:rsidR="00113A2E" w:rsidRDefault="00113A2E" w:rsidP="00113A2E">
            <w:pPr>
              <w:spacing w:after="0"/>
            </w:pPr>
            <w:r>
              <w:t>T310</w:t>
            </w:r>
          </w:p>
        </w:tc>
        <w:tc>
          <w:tcPr>
            <w:tcW w:w="992" w:type="dxa"/>
            <w:vAlign w:val="center"/>
          </w:tcPr>
          <w:p w14:paraId="2910EE11" w14:textId="3623AA29" w:rsidR="00113A2E" w:rsidRDefault="00113A2E" w:rsidP="00113A2E">
            <w:pPr>
              <w:spacing w:after="0"/>
              <w:jc w:val="center"/>
            </w:pPr>
            <w:r>
              <w:t>600</w:t>
            </w:r>
            <w:r w:rsidR="00295F4C">
              <w:t xml:space="preserve"> </w:t>
            </w:r>
            <w:r>
              <w:t>ms</w:t>
            </w:r>
          </w:p>
        </w:tc>
      </w:tr>
      <w:tr w:rsidR="00150964" w14:paraId="07760AC4" w14:textId="77777777" w:rsidTr="00113A2E">
        <w:trPr>
          <w:jc w:val="center"/>
        </w:trPr>
        <w:tc>
          <w:tcPr>
            <w:tcW w:w="1838" w:type="dxa"/>
            <w:vAlign w:val="center"/>
          </w:tcPr>
          <w:p w14:paraId="446179EA" w14:textId="48294910" w:rsidR="00150964" w:rsidRDefault="00150964" w:rsidP="00113A2E">
            <w:pPr>
              <w:spacing w:after="0"/>
            </w:pPr>
            <w:r>
              <w:t>Carrier frequency</w:t>
            </w:r>
          </w:p>
        </w:tc>
        <w:tc>
          <w:tcPr>
            <w:tcW w:w="992" w:type="dxa"/>
            <w:vAlign w:val="center"/>
          </w:tcPr>
          <w:p w14:paraId="6A8EE863" w14:textId="2515DBD3" w:rsidR="00150964" w:rsidRDefault="00150964" w:rsidP="00113A2E">
            <w:pPr>
              <w:spacing w:after="0"/>
              <w:jc w:val="center"/>
            </w:pPr>
            <w:r>
              <w:t>5.6</w:t>
            </w:r>
            <w:r w:rsidR="00295F4C">
              <w:t xml:space="preserve"> </w:t>
            </w:r>
            <w:r>
              <w:t>GHz</w:t>
            </w:r>
          </w:p>
        </w:tc>
      </w:tr>
      <w:tr w:rsidR="00150964" w14:paraId="30A1C60C" w14:textId="77777777" w:rsidTr="00113A2E">
        <w:trPr>
          <w:jc w:val="center"/>
        </w:trPr>
        <w:tc>
          <w:tcPr>
            <w:tcW w:w="1838" w:type="dxa"/>
            <w:vAlign w:val="center"/>
          </w:tcPr>
          <w:p w14:paraId="4E4945EC" w14:textId="39BD696F" w:rsidR="00150964" w:rsidRDefault="00150964" w:rsidP="00113A2E">
            <w:pPr>
              <w:spacing w:after="0"/>
            </w:pPr>
            <w:r>
              <w:t>Bandwidth</w:t>
            </w:r>
          </w:p>
        </w:tc>
        <w:tc>
          <w:tcPr>
            <w:tcW w:w="992" w:type="dxa"/>
            <w:vAlign w:val="center"/>
          </w:tcPr>
          <w:p w14:paraId="6C0C583B" w14:textId="529EEE2A" w:rsidR="00150964" w:rsidRDefault="00150964" w:rsidP="00113A2E">
            <w:pPr>
              <w:spacing w:after="0"/>
              <w:jc w:val="center"/>
            </w:pPr>
            <w:r>
              <w:t>100</w:t>
            </w:r>
            <w:r w:rsidR="00295F4C">
              <w:t xml:space="preserve"> </w:t>
            </w:r>
            <w:r>
              <w:t>MHz</w:t>
            </w:r>
          </w:p>
        </w:tc>
      </w:tr>
    </w:tbl>
    <w:p w14:paraId="2222229E" w14:textId="77777777" w:rsidR="00052E9F" w:rsidRDefault="00052E9F" w:rsidP="001B49C9"/>
    <w:p w14:paraId="05A41545" w14:textId="02B61D7D" w:rsidR="00DA096C" w:rsidRDefault="00113A2E" w:rsidP="001B49C9">
      <w:r>
        <w:t xml:space="preserve">Further assumptions </w:t>
      </w:r>
      <w:r w:rsidR="003E44CB">
        <w:t>can be</w:t>
      </w:r>
      <w:r>
        <w:t xml:space="preserve"> found in</w:t>
      </w:r>
      <w:r w:rsidR="003E44CB">
        <w:t xml:space="preserve"> </w:t>
      </w:r>
      <w:r w:rsidR="003E44CB">
        <w:fldChar w:fldCharType="begin"/>
      </w:r>
      <w:r w:rsidR="003E44CB">
        <w:instrText xml:space="preserve"> REF _Ref525555053 \r \h </w:instrText>
      </w:r>
      <w:r w:rsidR="003E44CB">
        <w:fldChar w:fldCharType="separate"/>
      </w:r>
      <w:r w:rsidR="003E44CB">
        <w:t>[2]</w:t>
      </w:r>
      <w:r w:rsidR="003E44CB">
        <w:fldChar w:fldCharType="end"/>
      </w:r>
      <w:r>
        <w:t>.</w:t>
      </w:r>
      <w:r w:rsidR="00052E9F">
        <w:t xml:space="preserve"> Note that the results go beyond simulation assumptions which have been agreed in e.g.</w:t>
      </w:r>
      <w:r w:rsidR="00656352">
        <w:fldChar w:fldCharType="begin"/>
      </w:r>
      <w:r w:rsidR="00656352">
        <w:instrText xml:space="preserve"> REF _Ref528082783 \n \h </w:instrText>
      </w:r>
      <w:r w:rsidR="00656352">
        <w:fldChar w:fldCharType="separate"/>
      </w:r>
      <w:r w:rsidR="00656352">
        <w:t>[4]</w:t>
      </w:r>
      <w:r w:rsidR="00656352">
        <w:fldChar w:fldCharType="end"/>
      </w:r>
      <w:r w:rsidR="00052E9F">
        <w:t>, nevertheless they show important and relevant trends of the performance.</w:t>
      </w:r>
    </w:p>
    <w:p w14:paraId="29A28695" w14:textId="2C898AFF" w:rsidR="00DA096C" w:rsidRPr="006E13D1" w:rsidRDefault="00DA096C" w:rsidP="00DA096C">
      <w:pPr>
        <w:pStyle w:val="Heading2"/>
      </w:pPr>
      <w:r>
        <w:t>2</w:t>
      </w:r>
      <w:r w:rsidRPr="006E13D1">
        <w:t>.</w:t>
      </w:r>
      <w:r>
        <w:t>2</w:t>
      </w:r>
      <w:r w:rsidRPr="006E13D1">
        <w:tab/>
      </w:r>
      <w:r>
        <w:t xml:space="preserve">Implementation assumptions for Conditional Handover </w:t>
      </w:r>
    </w:p>
    <w:p w14:paraId="5B11CE08" w14:textId="68BF6069" w:rsidR="00DA096C" w:rsidRDefault="3223E262" w:rsidP="3223E262">
      <w:r w:rsidRPr="3223E262">
        <w:t>The CHO operation is assumed as follows:</w:t>
      </w:r>
    </w:p>
    <w:p w14:paraId="10E297EE" w14:textId="54D6458F" w:rsidR="0072480D" w:rsidRDefault="0072480D" w:rsidP="004C2C27">
      <w:pPr>
        <w:pStyle w:val="ListParagraph"/>
        <w:numPr>
          <w:ilvl w:val="0"/>
          <w:numId w:val="8"/>
        </w:numPr>
        <w:jc w:val="both"/>
      </w:pPr>
      <w:r>
        <w:t xml:space="preserve">Preparation of a CHO target </w:t>
      </w:r>
      <w:r w:rsidR="00545D64">
        <w:t xml:space="preserve">cell </w:t>
      </w:r>
      <w:r>
        <w:t xml:space="preserve">is initiated by a measurement report triggered by a conventional A3 event, but with a small (even negative) threshold (the default is -3dB, i.e. a target </w:t>
      </w:r>
      <w:r w:rsidR="006C4D88">
        <w:t xml:space="preserve">cell </w:t>
      </w:r>
      <w:r>
        <w:t>is prepared when it is</w:t>
      </w:r>
      <w:r w:rsidR="00A70D71">
        <w:t xml:space="preserve"> still</w:t>
      </w:r>
      <w:r>
        <w:t xml:space="preserve"> 3</w:t>
      </w:r>
      <w:r w:rsidR="00A10F5A">
        <w:t xml:space="preserve"> </w:t>
      </w:r>
      <w:r>
        <w:t>dB weaker than the serving cell).</w:t>
      </w:r>
    </w:p>
    <w:p w14:paraId="7BF9D3B5" w14:textId="59B7EC96" w:rsidR="0072480D" w:rsidRDefault="0072480D" w:rsidP="004C2C27">
      <w:pPr>
        <w:pStyle w:val="ListParagraph"/>
        <w:numPr>
          <w:ilvl w:val="0"/>
          <w:numId w:val="8"/>
        </w:numPr>
        <w:jc w:val="both"/>
      </w:pPr>
      <w:r>
        <w:t>Whether or not further target</w:t>
      </w:r>
      <w:r w:rsidR="00E761F1">
        <w:t xml:space="preserve"> cells</w:t>
      </w:r>
      <w:r>
        <w:t xml:space="preserve"> can be added is determined by the maximum number of allowed target</w:t>
      </w:r>
      <w:r w:rsidR="0085229B">
        <w:t xml:space="preserve"> cells</w:t>
      </w:r>
      <w:r>
        <w:t xml:space="preserve"> (the default is a single target).</w:t>
      </w:r>
    </w:p>
    <w:p w14:paraId="0593A1CB" w14:textId="07E83211" w:rsidR="0072480D" w:rsidRDefault="0072480D" w:rsidP="004C2C27">
      <w:pPr>
        <w:pStyle w:val="ListParagraph"/>
        <w:numPr>
          <w:ilvl w:val="0"/>
          <w:numId w:val="8"/>
        </w:numPr>
        <w:jc w:val="both"/>
      </w:pPr>
      <w:r>
        <w:t>If the maximum number of allowed target</w:t>
      </w:r>
      <w:r w:rsidR="00196412">
        <w:t xml:space="preserve"> cell</w:t>
      </w:r>
      <w:r>
        <w:t xml:space="preserve"> is reach</w:t>
      </w:r>
      <w:r w:rsidR="00113A2E">
        <w:t>ed</w:t>
      </w:r>
      <w:r>
        <w:t xml:space="preserve"> and a further preparation event is received:</w:t>
      </w:r>
    </w:p>
    <w:p w14:paraId="489974CD" w14:textId="06539CA7" w:rsidR="0072480D" w:rsidRDefault="0072480D" w:rsidP="004C2C27">
      <w:pPr>
        <w:pStyle w:val="ListParagraph"/>
        <w:numPr>
          <w:ilvl w:val="1"/>
          <w:numId w:val="8"/>
        </w:numPr>
        <w:jc w:val="both"/>
      </w:pPr>
      <w:r>
        <w:t xml:space="preserve">The source cell will ignore the measurement report, if the newly reported target </w:t>
      </w:r>
      <w:r w:rsidR="009B19FB">
        <w:t xml:space="preserve">cell </w:t>
      </w:r>
      <w:r>
        <w:t>is weaker than the</w:t>
      </w:r>
      <w:r w:rsidR="00B865EF">
        <w:t xml:space="preserve"> weakest</w:t>
      </w:r>
      <w:r>
        <w:t xml:space="preserve"> already configured target.</w:t>
      </w:r>
    </w:p>
    <w:p w14:paraId="3CB211DB" w14:textId="5E050767" w:rsidR="0072480D" w:rsidRDefault="0072480D" w:rsidP="004C2C27">
      <w:pPr>
        <w:pStyle w:val="ListParagraph"/>
        <w:numPr>
          <w:ilvl w:val="1"/>
          <w:numId w:val="8"/>
        </w:numPr>
        <w:jc w:val="both"/>
      </w:pPr>
      <w:r>
        <w:t xml:space="preserve">The source cell will replace the configured target </w:t>
      </w:r>
      <w:r w:rsidR="001A4A21">
        <w:t xml:space="preserve">cell </w:t>
      </w:r>
      <w:r>
        <w:t xml:space="preserve">by the </w:t>
      </w:r>
      <w:r w:rsidR="001C1376">
        <w:t xml:space="preserve">newly reported target, if the reported RSRP </w:t>
      </w:r>
      <w:r w:rsidR="00B865EF">
        <w:t xml:space="preserve">of the new target </w:t>
      </w:r>
      <w:r w:rsidR="00001EC2">
        <w:t xml:space="preserve">cell </w:t>
      </w:r>
      <w:r w:rsidR="001C1376">
        <w:t>is stronger</w:t>
      </w:r>
      <w:r w:rsidR="00B865EF">
        <w:t xml:space="preserve"> than the weakest configured target</w:t>
      </w:r>
      <w:r w:rsidR="001C1376">
        <w:t xml:space="preserve">. </w:t>
      </w:r>
      <w:r w:rsidR="009D571B">
        <w:t>(</w:t>
      </w:r>
      <w:r w:rsidR="001C1376">
        <w:t>In the presented simulation results we do not consider a margin/hysteresis here</w:t>
      </w:r>
      <w:r w:rsidR="009D571B">
        <w:t>)</w:t>
      </w:r>
      <w:r w:rsidR="001C1376">
        <w:t>. This is done by a single RRC reconfiguration message which de</w:t>
      </w:r>
      <w:r w:rsidR="00864A02">
        <w:t>-</w:t>
      </w:r>
      <w:r w:rsidR="001C1376">
        <w:t xml:space="preserve">configures the previous target </w:t>
      </w:r>
      <w:r w:rsidR="00445514">
        <w:t xml:space="preserve">cell </w:t>
      </w:r>
      <w:r w:rsidR="001C1376">
        <w:t>and configures the new one.</w:t>
      </w:r>
    </w:p>
    <w:p w14:paraId="1DEBED2D" w14:textId="128F23D0" w:rsidR="001C1376" w:rsidRDefault="001C1376" w:rsidP="004C2C27">
      <w:pPr>
        <w:pStyle w:val="ListParagraph"/>
        <w:numPr>
          <w:ilvl w:val="0"/>
          <w:numId w:val="8"/>
        </w:numPr>
        <w:jc w:val="both"/>
      </w:pPr>
      <w:r>
        <w:t xml:space="preserve">Furthermore, we assume a “deconfiguration trigger event”. When </w:t>
      </w:r>
      <w:r w:rsidR="00F237AB">
        <w:t xml:space="preserve">the signal of </w:t>
      </w:r>
      <w:r>
        <w:t xml:space="preserve">a configured target </w:t>
      </w:r>
      <w:r w:rsidR="00F237AB">
        <w:t xml:space="preserve">cell </w:t>
      </w:r>
      <w:r>
        <w:t xml:space="preserve">falls offset below </w:t>
      </w:r>
      <w:r w:rsidR="00493354">
        <w:t xml:space="preserve">that of </w:t>
      </w:r>
      <w:r>
        <w:t xml:space="preserve">the serving cell, another measurement report is sent and the source </w:t>
      </w:r>
      <w:r w:rsidR="00C478D5">
        <w:t xml:space="preserve">cell </w:t>
      </w:r>
      <w:r>
        <w:t>will de</w:t>
      </w:r>
      <w:r w:rsidR="00864A02">
        <w:t>-</w:t>
      </w:r>
      <w:r>
        <w:t>configure the target. The threshold for this event has a 3</w:t>
      </w:r>
      <w:r w:rsidR="00810D33">
        <w:t xml:space="preserve"> </w:t>
      </w:r>
      <w:r>
        <w:t xml:space="preserve">dB hysteresis to the preparation threshold, i.e. the default </w:t>
      </w:r>
      <w:r w:rsidR="00CA0AB6">
        <w:t xml:space="preserve">value </w:t>
      </w:r>
      <w:r>
        <w:t>is -6</w:t>
      </w:r>
      <w:r w:rsidR="00A10F5A">
        <w:t xml:space="preserve"> </w:t>
      </w:r>
      <w:r>
        <w:t>dB.</w:t>
      </w:r>
      <w:r>
        <w:br/>
      </w:r>
      <w:r>
        <w:t>No further deconfiguration mechanisms are used.</w:t>
      </w:r>
    </w:p>
    <w:p w14:paraId="3016F234" w14:textId="7628224D" w:rsidR="001C1376" w:rsidRPr="0072480D" w:rsidRDefault="001C1376" w:rsidP="004C2C27">
      <w:pPr>
        <w:pStyle w:val="ListParagraph"/>
        <w:numPr>
          <w:ilvl w:val="0"/>
          <w:numId w:val="8"/>
        </w:numPr>
        <w:jc w:val="both"/>
      </w:pPr>
      <w:r>
        <w:t xml:space="preserve">The CHO is executed, when a configured target </w:t>
      </w:r>
      <w:r w:rsidR="004C3C37">
        <w:t xml:space="preserve">cell </w:t>
      </w:r>
      <w:r>
        <w:t>becomes offset better than the serving cell. The default for the execution threshold in 3dB. This condition uses the same filter coefficient and the same time to trigger as the other events.</w:t>
      </w:r>
    </w:p>
    <w:p w14:paraId="27664335" w14:textId="77777777" w:rsidR="00EC6C2B" w:rsidRDefault="00EC6C2B" w:rsidP="00EC6C2B">
      <w:pPr>
        <w:pStyle w:val="Heading2"/>
      </w:pPr>
      <w:r>
        <w:t>2</w:t>
      </w:r>
      <w:r w:rsidRPr="006E13D1">
        <w:t>.</w:t>
      </w:r>
      <w:r>
        <w:t>3</w:t>
      </w:r>
      <w:r w:rsidRPr="006E13D1">
        <w:tab/>
      </w:r>
      <w:r>
        <w:t>MRO reference</w:t>
      </w:r>
    </w:p>
    <w:p w14:paraId="4AEFB709" w14:textId="797E11F4" w:rsidR="00EC6C2B" w:rsidRDefault="3223E262" w:rsidP="004C2C27">
      <w:pPr>
        <w:jc w:val="both"/>
      </w:pPr>
      <w:r w:rsidRPr="3223E262">
        <w:t>In addition to the legacy handover, where a constant handover offset of 3</w:t>
      </w:r>
      <w:r w:rsidR="00810D33">
        <w:t xml:space="preserve"> </w:t>
      </w:r>
      <w:r w:rsidRPr="3223E262">
        <w:t>dB is used, we are also comparing the CHO performance with the performance of a self-optimizing MRO mechanism, which optimizes the handover offset separately for every cell boundary (“cell individual offset”). We  briefly explain</w:t>
      </w:r>
      <w:r w:rsidR="00810D33">
        <w:t xml:space="preserve"> the </w:t>
      </w:r>
      <w:r w:rsidR="0095522C">
        <w:t xml:space="preserve">MRO </w:t>
      </w:r>
      <w:r w:rsidR="00810D33">
        <w:t>approach</w:t>
      </w:r>
      <w:r w:rsidR="0095522C">
        <w:t xml:space="preserve"> in the following</w:t>
      </w:r>
      <w:r w:rsidR="00810D33">
        <w:t xml:space="preserve"> :</w:t>
      </w:r>
    </w:p>
    <w:p w14:paraId="58DAB24D" w14:textId="7483C7A8" w:rsidR="00810D33" w:rsidRDefault="00ED4E2A" w:rsidP="004C2C27">
      <w:pPr>
        <w:pStyle w:val="ListParagraph"/>
        <w:numPr>
          <w:ilvl w:val="0"/>
          <w:numId w:val="13"/>
        </w:numPr>
        <w:jc w:val="both"/>
      </w:pPr>
      <w:r>
        <w:t>Separately for every cell boundary, we categorize all handovers and failures into successful handovers, ping-pongs, too late handovers, too early handovers, and handovers to wrong cell</w:t>
      </w:r>
      <w:r w:rsidR="00810D33">
        <w:t>, as</w:t>
      </w:r>
      <w:r>
        <w:t xml:space="preserve"> specified in Rel</w:t>
      </w:r>
      <w:r w:rsidR="00810D33">
        <w:t>-</w:t>
      </w:r>
      <w:r>
        <w:t>9.</w:t>
      </w:r>
    </w:p>
    <w:p w14:paraId="7DB2102B" w14:textId="7E8F6858" w:rsidR="00ED4E2A" w:rsidRPr="00ED4E2A" w:rsidRDefault="00ED4E2A" w:rsidP="004C2C27">
      <w:pPr>
        <w:pStyle w:val="ListParagraph"/>
        <w:numPr>
          <w:ilvl w:val="0"/>
          <w:numId w:val="13"/>
        </w:numPr>
        <w:jc w:val="both"/>
      </w:pPr>
      <w:r>
        <w:t xml:space="preserve">After having collected a decent number of </w:t>
      </w:r>
      <w:r w:rsidR="003D5E08">
        <w:t xml:space="preserve">these events </w:t>
      </w:r>
      <w:r>
        <w:t xml:space="preserve">with a sufficient statistical significance, we increase the cell-individual offset </w:t>
      </w:r>
      <w:r w:rsidR="003D5E08">
        <w:t>i</w:t>
      </w:r>
      <w:r>
        <w:t>f the cell boundary was dominated by handovers which were triggered to</w:t>
      </w:r>
      <w:r w:rsidR="00810D33">
        <w:t>o</w:t>
      </w:r>
      <w:r>
        <w:t xml:space="preserve"> </w:t>
      </w:r>
      <w:r w:rsidR="003D5E08">
        <w:t>late (</w:t>
      </w:r>
      <w:r w:rsidR="00810D33">
        <w:t>“</w:t>
      </w:r>
      <w:r w:rsidR="003D5E08">
        <w:t>too late handovers</w:t>
      </w:r>
      <w:r w:rsidR="00810D33">
        <w:t>”</w:t>
      </w:r>
      <w:r w:rsidR="003D5E08">
        <w:t>), and reduce it if the cell boundary was dominated by handovers which were triggered too early (</w:t>
      </w:r>
      <w:r w:rsidR="00810D33">
        <w:t>“</w:t>
      </w:r>
      <w:r w:rsidR="003D5E08">
        <w:t>too early HOs</w:t>
      </w:r>
      <w:r w:rsidR="00810D33">
        <w:t>”</w:t>
      </w:r>
      <w:r w:rsidR="003D5E08">
        <w:t>, HO</w:t>
      </w:r>
      <w:r w:rsidR="00810D33">
        <w:t>s</w:t>
      </w:r>
      <w:r w:rsidR="003D5E08">
        <w:t xml:space="preserve"> to wrong cell, ping</w:t>
      </w:r>
      <w:r w:rsidR="00864A02">
        <w:t>-</w:t>
      </w:r>
      <w:r w:rsidR="003D5E08">
        <w:t>pong).</w:t>
      </w:r>
    </w:p>
    <w:p w14:paraId="5FF0E443" w14:textId="5F1E0C4A" w:rsidR="00CD4C7B" w:rsidRDefault="00CD4C7B" w:rsidP="00CD4C7B">
      <w:pPr>
        <w:pStyle w:val="Heading1"/>
      </w:pPr>
      <w:r w:rsidRPr="006E13D1">
        <w:t>3</w:t>
      </w:r>
      <w:r w:rsidRPr="006E13D1">
        <w:tab/>
      </w:r>
      <w:r w:rsidR="00EA39ED">
        <w:t>Simulation Results</w:t>
      </w:r>
    </w:p>
    <w:p w14:paraId="540D6E6F" w14:textId="2EB56F1C" w:rsidR="0000346A" w:rsidRDefault="00810D33" w:rsidP="3223E262">
      <w:r>
        <w:t>F</w:t>
      </w:r>
      <w:r w:rsidR="3223E262" w:rsidRPr="3223E262">
        <w:t>igure</w:t>
      </w:r>
      <w:r>
        <w:t xml:space="preserve"> 2</w:t>
      </w:r>
      <w:r w:rsidR="3223E262" w:rsidRPr="3223E262">
        <w:t xml:space="preserve"> show</w:t>
      </w:r>
      <w:r w:rsidR="00B46141">
        <w:t>s</w:t>
      </w:r>
      <w:r w:rsidR="3223E262" w:rsidRPr="3223E262">
        <w:t xml:space="preserve"> the simulation results, which will be discussed in more detail below. We evaluate two main KPIs:</w:t>
      </w:r>
    </w:p>
    <w:p w14:paraId="77B1685B" w14:textId="7D75328B" w:rsidR="0000346A" w:rsidRDefault="0000346A" w:rsidP="0000346A">
      <w:pPr>
        <w:pStyle w:val="ListParagraph"/>
        <w:numPr>
          <w:ilvl w:val="0"/>
          <w:numId w:val="9"/>
        </w:numPr>
      </w:pPr>
      <w:r>
        <w:t>Number of connection failures (i.e. radio link failures and handover failures), normalized per user and per minute.</w:t>
      </w:r>
    </w:p>
    <w:p w14:paraId="142107D8" w14:textId="4A319435" w:rsidR="0000346A" w:rsidRDefault="0000346A" w:rsidP="0000346A">
      <w:pPr>
        <w:pStyle w:val="ListParagraph"/>
        <w:numPr>
          <w:ilvl w:val="0"/>
          <w:numId w:val="9"/>
        </w:numPr>
      </w:pPr>
      <w:r>
        <w:t xml:space="preserve">Number of RRC reconfigurations, </w:t>
      </w:r>
      <w:r w:rsidR="007F0C5D">
        <w:t xml:space="preserve">normalized </w:t>
      </w:r>
      <w:r>
        <w:t>again per user and per minute. We are counting</w:t>
      </w:r>
      <w:r w:rsidR="00810D33">
        <w:t>:</w:t>
      </w:r>
    </w:p>
    <w:p w14:paraId="4A073A7C" w14:textId="7DBAD144" w:rsidR="0000346A" w:rsidRDefault="0000346A" w:rsidP="0000346A">
      <w:pPr>
        <w:pStyle w:val="ListParagraph"/>
        <w:numPr>
          <w:ilvl w:val="1"/>
          <w:numId w:val="9"/>
        </w:numPr>
      </w:pPr>
      <w:r>
        <w:t>Legacy handover commands</w:t>
      </w:r>
      <w:r w:rsidR="002428B9">
        <w:t>.</w:t>
      </w:r>
    </w:p>
    <w:p w14:paraId="28FD3248" w14:textId="067DFA81" w:rsidR="0000346A" w:rsidRDefault="0000346A" w:rsidP="0000346A">
      <w:pPr>
        <w:pStyle w:val="ListParagraph"/>
        <w:numPr>
          <w:ilvl w:val="1"/>
          <w:numId w:val="9"/>
        </w:numPr>
      </w:pPr>
      <w:r>
        <w:t>CHO target preparations (when preparation event is received, and maximum number of allowed targets is not reached)</w:t>
      </w:r>
    </w:p>
    <w:p w14:paraId="671F9AB1" w14:textId="328A717F" w:rsidR="0000346A" w:rsidRDefault="0000346A" w:rsidP="0000346A">
      <w:pPr>
        <w:pStyle w:val="ListParagraph"/>
        <w:numPr>
          <w:ilvl w:val="1"/>
          <w:numId w:val="9"/>
        </w:numPr>
      </w:pPr>
      <w:r>
        <w:t>Deconfiguration of CHO targets (when to deconfiguration event is received)</w:t>
      </w:r>
      <w:r w:rsidR="000B6D1D">
        <w:t>.</w:t>
      </w:r>
    </w:p>
    <w:p w14:paraId="11B6634A" w14:textId="0174538D" w:rsidR="0000346A" w:rsidRDefault="0000346A" w:rsidP="0000346A">
      <w:pPr>
        <w:pStyle w:val="ListParagraph"/>
        <w:numPr>
          <w:ilvl w:val="1"/>
          <w:numId w:val="9"/>
        </w:numPr>
      </w:pPr>
      <w:r>
        <w:lastRenderedPageBreak/>
        <w:t>Replacement of a configured CHO target (when preparation event is received, and maximum number of allowed target</w:t>
      </w:r>
      <w:r w:rsidR="00B30466">
        <w:t xml:space="preserve"> cell</w:t>
      </w:r>
      <w:r>
        <w:t xml:space="preserve"> is reached, and the new target </w:t>
      </w:r>
      <w:r w:rsidR="00B30466">
        <w:t xml:space="preserve">cell </w:t>
      </w:r>
      <w:r>
        <w:t>is stronger than the weakest configured target)</w:t>
      </w:r>
    </w:p>
    <w:p w14:paraId="01793876" w14:textId="428A8B1A" w:rsidR="00531008" w:rsidRPr="0000346A" w:rsidRDefault="00810D33" w:rsidP="00531008">
      <w:pPr>
        <w:pStyle w:val="ListParagraph"/>
        <w:numPr>
          <w:ilvl w:val="0"/>
          <w:numId w:val="9"/>
        </w:numPr>
      </w:pPr>
      <w:r>
        <w:t xml:space="preserve">Number of </w:t>
      </w:r>
      <w:r w:rsidR="00531008">
        <w:t>Ping</w:t>
      </w:r>
      <w:r>
        <w:t>-</w:t>
      </w:r>
      <w:r w:rsidR="00531008">
        <w:t>pong per user and per minute (i.e. successful handovers from source to target cell, and back to source cell within</w:t>
      </w:r>
      <w:r>
        <w:t xml:space="preserve"> 5 seconds</w:t>
      </w:r>
      <w:r w:rsidR="00531008">
        <w:t>.</w:t>
      </w:r>
    </w:p>
    <w:p w14:paraId="1ECA5AE3" w14:textId="0AC88399" w:rsidR="0000346A" w:rsidRPr="0000346A" w:rsidRDefault="00E55E28" w:rsidP="0000346A">
      <w:r>
        <w:t xml:space="preserve">A more detailed analysis with more KPIs is found in </w:t>
      </w:r>
      <w:r>
        <w:fldChar w:fldCharType="begin"/>
      </w:r>
      <w:r>
        <w:instrText xml:space="preserve"> REF _Ref525555053 \r \h </w:instrText>
      </w:r>
      <w:r>
        <w:fldChar w:fldCharType="separate"/>
      </w:r>
      <w:r>
        <w:t>[2]</w:t>
      </w:r>
      <w:r>
        <w:fldChar w:fldCharType="end"/>
      </w:r>
      <w:r>
        <w:t>.</w:t>
      </w:r>
    </w:p>
    <w:p w14:paraId="7D4CA343" w14:textId="33632A8E" w:rsidR="00A521C4" w:rsidRPr="006E13D1" w:rsidRDefault="0099257A" w:rsidP="00A521C4">
      <w:pPr>
        <w:pStyle w:val="TH"/>
      </w:pPr>
      <w:r w:rsidRPr="0099257A">
        <w:rPr>
          <w:noProof/>
        </w:rPr>
        <w:drawing>
          <wp:inline distT="0" distB="0" distL="0" distR="0" wp14:anchorId="3A2ECF1C" wp14:editId="42B8166E">
            <wp:extent cx="6122035" cy="531979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5319799"/>
                    </a:xfrm>
                    <a:prstGeom prst="rect">
                      <a:avLst/>
                    </a:prstGeom>
                    <a:noFill/>
                    <a:ln>
                      <a:noFill/>
                    </a:ln>
                  </pic:spPr>
                </pic:pic>
              </a:graphicData>
            </a:graphic>
          </wp:inline>
        </w:drawing>
      </w:r>
    </w:p>
    <w:p w14:paraId="002032C9" w14:textId="57E12ABE" w:rsidR="00A521C4" w:rsidRDefault="00A521C4" w:rsidP="00A521C4">
      <w:pPr>
        <w:pStyle w:val="TF"/>
      </w:pPr>
      <w:r w:rsidRPr="006E13D1">
        <w:t xml:space="preserve">Figure </w:t>
      </w:r>
      <w:r w:rsidR="001C1376">
        <w:t>2</w:t>
      </w:r>
      <w:r w:rsidRPr="006E13D1">
        <w:t xml:space="preserve">: </w:t>
      </w:r>
      <w:r w:rsidR="001C1376">
        <w:t>Simulation results; left: number of allowed CHO targets, middle: preparation threshold, right: execution threshold</w:t>
      </w:r>
    </w:p>
    <w:p w14:paraId="3771C9CA" w14:textId="52559951" w:rsidR="00CD4C7B" w:rsidRPr="006E13D1" w:rsidRDefault="00CD4C7B" w:rsidP="00CD4C7B">
      <w:pPr>
        <w:pStyle w:val="Heading2"/>
      </w:pPr>
      <w:r w:rsidRPr="006E13D1">
        <w:t>3.1</w:t>
      </w:r>
      <w:r w:rsidRPr="006E13D1">
        <w:tab/>
      </w:r>
      <w:r w:rsidR="00EA39ED">
        <w:t>Number of CHO targets</w:t>
      </w:r>
      <w:r w:rsidR="00F12A89">
        <w:t xml:space="preserve"> and MRO comparison</w:t>
      </w:r>
    </w:p>
    <w:p w14:paraId="4BF40ED7" w14:textId="580729E7" w:rsidR="00A521C4" w:rsidRDefault="00810D33" w:rsidP="3223E262">
      <w:r>
        <w:t>Please r</w:t>
      </w:r>
      <w:r w:rsidR="3223E262" w:rsidRPr="3223E262">
        <w:t>ecall that the default for preparation threshold and execution threshold is -3dB and +3dB</w:t>
      </w:r>
      <w:r>
        <w:t>, respectively</w:t>
      </w:r>
      <w:r w:rsidR="3223E262" w:rsidRPr="3223E262">
        <w:t>. We make the following observations (left column):</w:t>
      </w:r>
    </w:p>
    <w:p w14:paraId="5B7968F5" w14:textId="25DF6B5F" w:rsidR="00571C63" w:rsidRDefault="00571C63" w:rsidP="00571C63">
      <w:pPr>
        <w:pStyle w:val="ListParagraph"/>
        <w:numPr>
          <w:ilvl w:val="0"/>
          <w:numId w:val="11"/>
        </w:numPr>
      </w:pPr>
      <w:r>
        <w:t xml:space="preserve">A single target already provides significant reduction of failures against the legacy handover (0.5 to 0.06), as well as against MRO (0.2 to 0.06). Two and three targets provide more gain (down to 0.03 and 0.02), but main benefit comes </w:t>
      </w:r>
      <w:r w:rsidR="00810D33">
        <w:t xml:space="preserve">already </w:t>
      </w:r>
      <w:r>
        <w:t>from</w:t>
      </w:r>
      <w:r w:rsidR="00810D33">
        <w:t xml:space="preserve"> the early preparation of a single</w:t>
      </w:r>
      <w:r>
        <w:t xml:space="preserve"> target</w:t>
      </w:r>
      <w:r w:rsidR="001B5055">
        <w:t xml:space="preserve"> cell</w:t>
      </w:r>
      <w:r>
        <w:t>.</w:t>
      </w:r>
      <w:r>
        <w:br/>
      </w:r>
    </w:p>
    <w:p w14:paraId="5BBC5E89" w14:textId="280AC46E" w:rsidR="00571C63" w:rsidRDefault="00571C63" w:rsidP="00571C63">
      <w:pPr>
        <w:pStyle w:val="ListParagraph"/>
        <w:numPr>
          <w:ilvl w:val="0"/>
          <w:numId w:val="11"/>
        </w:numPr>
      </w:pPr>
      <w:r>
        <w:t>The number of RRC reconfigurations increases with CHO significantly by a factor of 3-4 w</w:t>
      </w:r>
      <w:r w:rsidR="00856F5C">
        <w:t>.</w:t>
      </w:r>
      <w:r>
        <w:t>r</w:t>
      </w:r>
      <w:r w:rsidR="00856F5C">
        <w:t>.</w:t>
      </w:r>
      <w:r>
        <w:t>t</w:t>
      </w:r>
      <w:r w:rsidR="00856F5C">
        <w:t>.</w:t>
      </w:r>
      <w:r>
        <w:t xml:space="preserve"> MRO. Obviously, with this setting, indeed cells are prepared in vain in many cases, and have to be de-configured again. Please note that we will discuss below how this can be improved.</w:t>
      </w:r>
      <w:r>
        <w:br/>
      </w:r>
    </w:p>
    <w:p w14:paraId="64839E4F" w14:textId="5D34135B" w:rsidR="00571C63" w:rsidRDefault="00571C63" w:rsidP="00571C63">
      <w:pPr>
        <w:pStyle w:val="ListParagraph"/>
        <w:numPr>
          <w:ilvl w:val="0"/>
          <w:numId w:val="11"/>
        </w:numPr>
      </w:pPr>
      <w:r>
        <w:lastRenderedPageBreak/>
        <w:t>Please note that some increase is natural, since we are turning many failures into successful handovers, and some of the failures happen since preparation was not even done (lost measurement reports). This is also the reason why MRO has more RRC signalling than legacy HO.</w:t>
      </w:r>
      <w:r>
        <w:br/>
      </w:r>
    </w:p>
    <w:p w14:paraId="285D3629" w14:textId="2308B2EE" w:rsidR="00571C63" w:rsidRDefault="3223E262" w:rsidP="00571C63">
      <w:pPr>
        <w:pStyle w:val="ListParagraph"/>
        <w:numPr>
          <w:ilvl w:val="0"/>
          <w:numId w:val="11"/>
        </w:numPr>
      </w:pPr>
      <w:r>
        <w:t>With a single target, replacement of a configured target</w:t>
      </w:r>
      <w:r w:rsidR="00473A1C">
        <w:t xml:space="preserve"> cell</w:t>
      </w:r>
      <w:r>
        <w:t xml:space="preserve"> (i.e. de-configuration of an existing target</w:t>
      </w:r>
      <w:r w:rsidR="00473A1C">
        <w:t xml:space="preserve"> cell</w:t>
      </w:r>
      <w:r>
        <w:t xml:space="preserve">, and configuration of a new one) happens quite often, so it seems worth to define an efficient and tailored procedure for this replacement. </w:t>
      </w:r>
      <w:r w:rsidR="00B40469">
        <w:t>This is less relevant w</w:t>
      </w:r>
      <w:r>
        <w:t>ith more target</w:t>
      </w:r>
      <w:r w:rsidR="003E1B01">
        <w:t xml:space="preserve"> cell</w:t>
      </w:r>
      <w:r>
        <w:t>.</w:t>
      </w:r>
      <w:r w:rsidR="00571C63">
        <w:br/>
      </w:r>
    </w:p>
    <w:p w14:paraId="1AF3873B" w14:textId="3A0C7B8C" w:rsidR="00571C63" w:rsidRDefault="00571C63" w:rsidP="00571C63">
      <w:pPr>
        <w:pStyle w:val="ListParagraph"/>
        <w:numPr>
          <w:ilvl w:val="0"/>
          <w:numId w:val="11"/>
        </w:numPr>
      </w:pPr>
      <w:r>
        <w:t>Ping</w:t>
      </w:r>
      <w:r w:rsidR="00856F5C">
        <w:t>-</w:t>
      </w:r>
      <w:r>
        <w:t>pongs increase slightly w</w:t>
      </w:r>
      <w:r w:rsidR="00856F5C">
        <w:t>.</w:t>
      </w:r>
      <w:r>
        <w:t>r</w:t>
      </w:r>
      <w:r w:rsidR="00856F5C">
        <w:t>.</w:t>
      </w:r>
      <w:r>
        <w:t>t</w:t>
      </w:r>
      <w:r w:rsidR="00856F5C">
        <w:t>.</w:t>
      </w:r>
      <w:r>
        <w:t xml:space="preserve"> legacy handover (0.2 to 0.25). Note again that ~0.44 </w:t>
      </w:r>
      <w:r w:rsidR="00856F5C">
        <w:t xml:space="preserve">of </w:t>
      </w:r>
      <w:r>
        <w:t>failures are turned into successful handovers, and some of them will end up in additional ping</w:t>
      </w:r>
      <w:r w:rsidR="00856F5C">
        <w:t>-</w:t>
      </w:r>
      <w:r>
        <w:t>pongs, although CHO uses the same execution threshold (3</w:t>
      </w:r>
      <w:r w:rsidR="00856F5C">
        <w:t xml:space="preserve"> </w:t>
      </w:r>
      <w:r>
        <w:t>dB) as the legacy handover; so this increase is also natural and expected.</w:t>
      </w:r>
      <w:r>
        <w:br/>
      </w:r>
    </w:p>
    <w:p w14:paraId="46C28666" w14:textId="089DAC62" w:rsidR="00571C63" w:rsidRPr="00571C63" w:rsidRDefault="3223E262" w:rsidP="00571C63">
      <w:pPr>
        <w:pStyle w:val="ListParagraph"/>
        <w:numPr>
          <w:ilvl w:val="0"/>
          <w:numId w:val="11"/>
        </w:numPr>
      </w:pPr>
      <w:r>
        <w:t>However, CHO ping</w:t>
      </w:r>
      <w:r w:rsidR="00856F5C">
        <w:t>-</w:t>
      </w:r>
      <w:r>
        <w:t>pongs are decreased w</w:t>
      </w:r>
      <w:r w:rsidR="00856F5C">
        <w:t>.</w:t>
      </w:r>
      <w:r>
        <w:t>r</w:t>
      </w:r>
      <w:r w:rsidR="00856F5C">
        <w:t>.</w:t>
      </w:r>
      <w:r>
        <w:t>t</w:t>
      </w:r>
      <w:r w:rsidR="00856F5C">
        <w:t>.</w:t>
      </w:r>
      <w:r>
        <w:t xml:space="preserve"> MRO. Parts of the MRO gains come from the fact that ping</w:t>
      </w:r>
      <w:r w:rsidR="00856F5C">
        <w:t>-</w:t>
      </w:r>
      <w:r>
        <w:t>pongs are sacrificed for lower number of failures.</w:t>
      </w:r>
    </w:p>
    <w:p w14:paraId="5A7E381B" w14:textId="773E0DA3" w:rsidR="00CD4C7B" w:rsidRPr="006E13D1" w:rsidRDefault="00CD4C7B" w:rsidP="00A521C4">
      <w:pPr>
        <w:pStyle w:val="Heading2"/>
      </w:pPr>
      <w:r w:rsidRPr="006E13D1">
        <w:t>3.2</w:t>
      </w:r>
      <w:r w:rsidRPr="006E13D1">
        <w:tab/>
      </w:r>
      <w:r w:rsidR="00EA39ED">
        <w:t>Impact of preparation threshold</w:t>
      </w:r>
    </w:p>
    <w:p w14:paraId="19A406CC" w14:textId="23EAD304" w:rsidR="00A521C4" w:rsidRPr="008C5B31" w:rsidRDefault="00B236E9" w:rsidP="3223E262">
      <w:r>
        <w:t>Please r</w:t>
      </w:r>
      <w:r w:rsidR="3223E262" w:rsidRPr="3223E262">
        <w:t>ecall that the default for execution threshold and number of allowed target cells is +3dB and 1</w:t>
      </w:r>
      <w:r>
        <w:t>, respectively</w:t>
      </w:r>
      <w:r w:rsidR="3223E262" w:rsidRPr="3223E262">
        <w:t>. We make the following observations (center column):</w:t>
      </w:r>
    </w:p>
    <w:p w14:paraId="72C76B9F" w14:textId="770A99F0" w:rsidR="002770D4" w:rsidRDefault="00295EB2" w:rsidP="000103A8">
      <w:pPr>
        <w:pStyle w:val="ListParagraph"/>
        <w:numPr>
          <w:ilvl w:val="0"/>
          <w:numId w:val="5"/>
        </w:numPr>
      </w:pPr>
      <w:r>
        <w:t>Clearly, the earlier we do the preparation, the more we reduce the failures.</w:t>
      </w:r>
      <w:r w:rsidR="002770D4">
        <w:br/>
      </w:r>
    </w:p>
    <w:p w14:paraId="2565FE7E" w14:textId="02AE08C3" w:rsidR="002770D4" w:rsidRDefault="00A521C4" w:rsidP="001067FD">
      <w:pPr>
        <w:pStyle w:val="ListParagraph"/>
        <w:numPr>
          <w:ilvl w:val="0"/>
          <w:numId w:val="5"/>
        </w:numPr>
      </w:pPr>
      <w:r w:rsidRPr="002770D4">
        <w:t xml:space="preserve">Unfortunately, the </w:t>
      </w:r>
      <w:r w:rsidR="00D204EC" w:rsidRPr="002770D4">
        <w:t>RRC reconfiguration</w:t>
      </w:r>
      <w:r w:rsidR="00B236E9">
        <w:t xml:space="preserve"> operations</w:t>
      </w:r>
      <w:r w:rsidR="00D204EC" w:rsidRPr="002770D4">
        <w:t xml:space="preserve"> </w:t>
      </w:r>
      <w:r w:rsidRPr="002770D4">
        <w:t xml:space="preserve">increase </w:t>
      </w:r>
      <w:r w:rsidR="00D204EC" w:rsidRPr="002770D4">
        <w:t xml:space="preserve">as well; </w:t>
      </w:r>
      <w:r w:rsidRPr="002770D4">
        <w:t>the earlier we prepare, the more often we do it in vain and have to de</w:t>
      </w:r>
      <w:r w:rsidR="00D204EC" w:rsidRPr="002770D4">
        <w:t>-configure or replace</w:t>
      </w:r>
      <w:r w:rsidRPr="002770D4">
        <w:t>.</w:t>
      </w:r>
      <w:r w:rsidR="002770D4">
        <w:br/>
      </w:r>
    </w:p>
    <w:p w14:paraId="2ACFB016" w14:textId="45608E7A" w:rsidR="002770D4" w:rsidRDefault="00D204EC" w:rsidP="007260DB">
      <w:pPr>
        <w:pStyle w:val="ListParagraph"/>
        <w:numPr>
          <w:ilvl w:val="0"/>
          <w:numId w:val="5"/>
        </w:numPr>
      </w:pPr>
      <w:r w:rsidRPr="002770D4">
        <w:t>The preparation threshold has little impact on the ping</w:t>
      </w:r>
      <w:r w:rsidR="0058344A">
        <w:t>-</w:t>
      </w:r>
      <w:r w:rsidRPr="002770D4">
        <w:t>pongs.</w:t>
      </w:r>
      <w:r w:rsidR="002770D4">
        <w:br/>
      </w:r>
    </w:p>
    <w:p w14:paraId="1F861CC6" w14:textId="4288C659" w:rsidR="002770D4" w:rsidRDefault="00B236E9" w:rsidP="00F0465E">
      <w:pPr>
        <w:pStyle w:val="ListParagraph"/>
        <w:numPr>
          <w:ilvl w:val="0"/>
          <w:numId w:val="5"/>
        </w:numPr>
      </w:pPr>
      <w:r>
        <w:t>W</w:t>
      </w:r>
      <w:r w:rsidR="00FD41C7" w:rsidRPr="002770D4">
        <w:t>e have a mixed velocity case, i.e. we have 3km/h and 30km/h users simultaneously. Obviously, early preparation will help the fast users massively, but at the same time will cause uncertainties for the slow users. One efficient solution would be to use different settings for slow and fast users. Unfortunately, under practical conditions it is extremely difficult to reliably distinguish slow and fast users.</w:t>
      </w:r>
      <w:r>
        <w:t xml:space="preserve"> </w:t>
      </w:r>
      <w:r w:rsidR="00FD41C7" w:rsidRPr="002770D4">
        <w:t>Instead, we apply a very simple SON mechanism which configures an early preparation threshold of -4</w:t>
      </w:r>
      <w:r>
        <w:t xml:space="preserve"> </w:t>
      </w:r>
      <w:r w:rsidR="00FD41C7" w:rsidRPr="002770D4">
        <w:t>dB on critical cell boundaries (where failures occur), and a moderate preparation threshold of 0</w:t>
      </w:r>
      <w:r>
        <w:t xml:space="preserve"> </w:t>
      </w:r>
      <w:r w:rsidR="00FD41C7" w:rsidRPr="002770D4">
        <w:t>dB on non-critical boundaries (where no failures occur). Certainly, this can be done much better following the well-known principles of MRO; however</w:t>
      </w:r>
      <w:r w:rsidR="00FC4BFE" w:rsidRPr="002770D4">
        <w:t>,</w:t>
      </w:r>
      <w:r w:rsidR="00FD41C7" w:rsidRPr="002770D4">
        <w:t xml:space="preserve"> we w</w:t>
      </w:r>
      <w:r w:rsidR="00FC4BFE" w:rsidRPr="002770D4">
        <w:t>ill only use such a simple mechanism to demonstrate an important trend explained in the following</w:t>
      </w:r>
      <w:r>
        <w:t xml:space="preserve"> subparagraph</w:t>
      </w:r>
      <w:r w:rsidR="00FC4BFE" w:rsidRPr="002770D4">
        <w:t>.</w:t>
      </w:r>
      <w:r w:rsidR="002770D4">
        <w:br/>
      </w:r>
    </w:p>
    <w:p w14:paraId="123B9279" w14:textId="4AC044E1" w:rsidR="00A521C4" w:rsidRDefault="00FC4BFE" w:rsidP="00F0465E">
      <w:pPr>
        <w:pStyle w:val="ListParagraph"/>
        <w:numPr>
          <w:ilvl w:val="0"/>
          <w:numId w:val="5"/>
        </w:numPr>
      </w:pPr>
      <w:r w:rsidRPr="002770D4">
        <w:t>Even this simple, cell-</w:t>
      </w:r>
      <w:r w:rsidR="002B7CFD" w:rsidRPr="002770D4">
        <w:t>pair</w:t>
      </w:r>
      <w:r w:rsidRPr="002770D4">
        <w:t>-specific setting</w:t>
      </w:r>
      <w:r w:rsidR="00B236E9">
        <w:t>,</w:t>
      </w:r>
      <w:r w:rsidRPr="002770D4">
        <w:t xml:space="preserve"> can massively reduce the RRC overhead introduced by CHO and bring it down to the level of MRO</w:t>
      </w:r>
      <w:r w:rsidR="00A521C4" w:rsidRPr="002770D4">
        <w:t>.</w:t>
      </w:r>
      <w:r w:rsidRPr="002770D4">
        <w:t xml:space="preserve"> This happens without harming the failure performance.</w:t>
      </w:r>
      <w:r w:rsidRPr="002770D4">
        <w:br/>
      </w:r>
      <w:r w:rsidRPr="002770D4">
        <w:t>The important conclusion is that the RRC overhead is kept moderate, when the preparation threshold is properly configured. Aggressive (early) setting shall only be used when needed.</w:t>
      </w:r>
      <w:r w:rsidR="002B7CFD" w:rsidRPr="002770D4">
        <w:br/>
      </w:r>
      <w:r w:rsidR="002B7CFD" w:rsidRPr="002770D4">
        <w:t>In reality, cell-pair specific setting (via cell-individual offset) will already help a lot, since cell boundaries are typically dominated by specific user behaviour dictated by a given infrastructure (streets, pedestrian areas, open spaces, as in our scenario sketched above).</w:t>
      </w:r>
    </w:p>
    <w:p w14:paraId="62501BCC" w14:textId="2C1EA3CB" w:rsidR="00EA39ED" w:rsidRPr="006E13D1" w:rsidRDefault="00EA39ED" w:rsidP="00EA39ED">
      <w:pPr>
        <w:pStyle w:val="Heading2"/>
      </w:pPr>
      <w:r w:rsidRPr="006E13D1">
        <w:t>3.</w:t>
      </w:r>
      <w:r>
        <w:t>3</w:t>
      </w:r>
      <w:r w:rsidRPr="006E13D1">
        <w:tab/>
      </w:r>
      <w:r>
        <w:t>Impact of execution threshold</w:t>
      </w:r>
    </w:p>
    <w:p w14:paraId="581F45BB" w14:textId="142E1EA0" w:rsidR="00A521C4" w:rsidRDefault="00B236E9" w:rsidP="3223E262">
      <w:r>
        <w:t>Please r</w:t>
      </w:r>
      <w:r w:rsidR="3223E262" w:rsidRPr="3223E262">
        <w:t>ecall that the default for preparation threshold and number of allowed target cells is -3dB and 1</w:t>
      </w:r>
      <w:r>
        <w:t>, respectively</w:t>
      </w:r>
      <w:r w:rsidR="3223E262" w:rsidRPr="3223E262">
        <w:t>. We make the following observations (right column):</w:t>
      </w:r>
    </w:p>
    <w:p w14:paraId="1A42E69D" w14:textId="64C7A4E6" w:rsidR="00571C63" w:rsidRDefault="00571C63" w:rsidP="00571C63">
      <w:pPr>
        <w:pStyle w:val="ListParagraph"/>
        <w:numPr>
          <w:ilvl w:val="0"/>
          <w:numId w:val="12"/>
        </w:numPr>
      </w:pPr>
      <w:r>
        <w:t>The execution threshold seems to have less impact on the failure performance, we cannot further reduce the failures with the execution threshold. We even see an increase of the failures when executing too early (since the RACH gets more and more risky).</w:t>
      </w:r>
      <w:r>
        <w:br/>
      </w:r>
    </w:p>
    <w:p w14:paraId="1395C55E" w14:textId="6CBE276E" w:rsidR="00571C63" w:rsidRDefault="00571C63" w:rsidP="00571C63">
      <w:pPr>
        <w:pStyle w:val="ListParagraph"/>
        <w:numPr>
          <w:ilvl w:val="0"/>
          <w:numId w:val="12"/>
        </w:numPr>
      </w:pPr>
      <w:r>
        <w:t>Early execution obviously increases the ping</w:t>
      </w:r>
      <w:r w:rsidR="00B236E9">
        <w:t>-</w:t>
      </w:r>
      <w:r>
        <w:t>pongs massively, which is expected.</w:t>
      </w:r>
      <w:r>
        <w:br/>
      </w:r>
    </w:p>
    <w:p w14:paraId="3AA6E3D8" w14:textId="20A885C1" w:rsidR="00571C63" w:rsidRPr="00571C63" w:rsidRDefault="00571C63" w:rsidP="00571C63">
      <w:pPr>
        <w:pStyle w:val="ListParagraph"/>
        <w:numPr>
          <w:ilvl w:val="0"/>
          <w:numId w:val="12"/>
        </w:numPr>
      </w:pPr>
      <w:r>
        <w:t>Consequently, the RRC overhead explodes as well.</w:t>
      </w:r>
    </w:p>
    <w:p w14:paraId="17111160" w14:textId="6A36ACC4" w:rsidR="00A521C4" w:rsidRPr="006E13D1" w:rsidRDefault="00A521C4" w:rsidP="00A521C4">
      <w:pPr>
        <w:pStyle w:val="Heading1"/>
      </w:pPr>
      <w:r>
        <w:lastRenderedPageBreak/>
        <w:t>4</w:t>
      </w:r>
      <w:r w:rsidRPr="006E13D1">
        <w:tab/>
      </w:r>
      <w:r>
        <w:t>Conclusions</w:t>
      </w:r>
    </w:p>
    <w:p w14:paraId="5BE411EE" w14:textId="165F02E6" w:rsidR="00A521C4" w:rsidRPr="00E55E28" w:rsidRDefault="00E55E28" w:rsidP="00A521C4">
      <w:pPr>
        <w:rPr>
          <w:b/>
        </w:rPr>
      </w:pPr>
      <w:r w:rsidRPr="00E55E28">
        <w:rPr>
          <w:b/>
        </w:rPr>
        <w:t>Observation 1: From the presented simulations we make the following observations:</w:t>
      </w:r>
    </w:p>
    <w:p w14:paraId="3C5B7725" w14:textId="32509A1F" w:rsidR="002770D4" w:rsidRPr="002770D4" w:rsidRDefault="00E55E28" w:rsidP="002770D4">
      <w:pPr>
        <w:pStyle w:val="ListParagraph"/>
        <w:numPr>
          <w:ilvl w:val="0"/>
          <w:numId w:val="10"/>
        </w:numPr>
        <w:rPr>
          <w:b/>
        </w:rPr>
      </w:pPr>
      <w:r w:rsidRPr="00E55E28">
        <w:rPr>
          <w:b/>
        </w:rPr>
        <w:t>The CHO can provide significant benefits against the legacy handover</w:t>
      </w:r>
      <w:r w:rsidR="002770D4">
        <w:rPr>
          <w:b/>
        </w:rPr>
        <w:t>, and also against MRO, in terms of failures</w:t>
      </w:r>
      <w:r w:rsidRPr="00E55E28">
        <w:rPr>
          <w:b/>
        </w:rPr>
        <w:t>.</w:t>
      </w:r>
    </w:p>
    <w:p w14:paraId="2E9E74B6" w14:textId="72DCF485" w:rsidR="00E55E28" w:rsidRPr="00E55E28" w:rsidRDefault="00E55E28" w:rsidP="00E55E28">
      <w:pPr>
        <w:pStyle w:val="ListParagraph"/>
        <w:numPr>
          <w:ilvl w:val="0"/>
          <w:numId w:val="10"/>
        </w:numPr>
        <w:rPr>
          <w:b/>
        </w:rPr>
      </w:pPr>
      <w:r w:rsidRPr="00E55E28">
        <w:rPr>
          <w:b/>
        </w:rPr>
        <w:t>Most of the benefits are achieved even with a single allowed target cell.</w:t>
      </w:r>
      <w:r w:rsidR="002770D4">
        <w:rPr>
          <w:b/>
        </w:rPr>
        <w:t xml:space="preserve"> Allowing more target</w:t>
      </w:r>
      <w:r w:rsidR="00D566F5">
        <w:rPr>
          <w:b/>
        </w:rPr>
        <w:t xml:space="preserve"> cells</w:t>
      </w:r>
      <w:r w:rsidR="002770D4">
        <w:rPr>
          <w:b/>
        </w:rPr>
        <w:t xml:space="preserve"> leads to additional </w:t>
      </w:r>
      <w:r w:rsidR="00502E62">
        <w:rPr>
          <w:b/>
        </w:rPr>
        <w:t xml:space="preserve">but moderate </w:t>
      </w:r>
      <w:r w:rsidR="002770D4">
        <w:rPr>
          <w:b/>
        </w:rPr>
        <w:t>gains.</w:t>
      </w:r>
    </w:p>
    <w:p w14:paraId="665B6FB1" w14:textId="1A604FA6" w:rsidR="00E55E28" w:rsidRPr="00E55E28" w:rsidRDefault="00E55E28" w:rsidP="00E55E28">
      <w:pPr>
        <w:pStyle w:val="ListParagraph"/>
        <w:numPr>
          <w:ilvl w:val="0"/>
          <w:numId w:val="10"/>
        </w:numPr>
        <w:rPr>
          <w:b/>
        </w:rPr>
      </w:pPr>
      <w:r w:rsidRPr="00E55E28">
        <w:rPr>
          <w:b/>
        </w:rPr>
        <w:t xml:space="preserve">The threshold for target </w:t>
      </w:r>
      <w:r w:rsidR="007F5B21">
        <w:rPr>
          <w:b/>
        </w:rPr>
        <w:t xml:space="preserve">cell </w:t>
      </w:r>
      <w:r w:rsidRPr="00E55E28">
        <w:rPr>
          <w:b/>
        </w:rPr>
        <w:t>preparation has a significant impact on failure performance.</w:t>
      </w:r>
    </w:p>
    <w:p w14:paraId="32CD9745" w14:textId="2F8B2B3C" w:rsidR="00E55E28" w:rsidRPr="00E55E28" w:rsidRDefault="00E55E28" w:rsidP="00E55E28">
      <w:pPr>
        <w:pStyle w:val="ListParagraph"/>
        <w:numPr>
          <w:ilvl w:val="0"/>
          <w:numId w:val="10"/>
        </w:numPr>
        <w:rPr>
          <w:b/>
        </w:rPr>
      </w:pPr>
      <w:r w:rsidRPr="00E55E28">
        <w:rPr>
          <w:b/>
        </w:rPr>
        <w:t xml:space="preserve">The number of RRC messages can massively increase, when the preparation threshold is </w:t>
      </w:r>
      <w:r w:rsidR="00220857">
        <w:rPr>
          <w:b/>
        </w:rPr>
        <w:t>not configured p</w:t>
      </w:r>
      <w:r w:rsidR="002770D4">
        <w:rPr>
          <w:b/>
        </w:rPr>
        <w:t>roperly</w:t>
      </w:r>
      <w:r w:rsidRPr="00E55E28">
        <w:rPr>
          <w:b/>
        </w:rPr>
        <w:t>, i.e. careful configuration is important.</w:t>
      </w:r>
    </w:p>
    <w:p w14:paraId="79FB6E40" w14:textId="48598EE1" w:rsidR="00E55E28" w:rsidRPr="00E55E28" w:rsidRDefault="00E55E28" w:rsidP="00E55E28">
      <w:pPr>
        <w:pStyle w:val="ListParagraph"/>
        <w:numPr>
          <w:ilvl w:val="0"/>
          <w:numId w:val="10"/>
        </w:numPr>
        <w:rPr>
          <w:b/>
        </w:rPr>
      </w:pPr>
      <w:r w:rsidRPr="00E55E28">
        <w:rPr>
          <w:b/>
        </w:rPr>
        <w:t>The execution threshold has a smaller impact on the failure performance</w:t>
      </w:r>
      <w:r w:rsidR="000639A6">
        <w:rPr>
          <w:b/>
        </w:rPr>
        <w:t xml:space="preserve"> but can negatively impact the number of RRC operations and increase the </w:t>
      </w:r>
      <w:r w:rsidR="00AD6BA6">
        <w:rPr>
          <w:b/>
        </w:rPr>
        <w:t xml:space="preserve">number </w:t>
      </w:r>
      <w:r w:rsidR="000639A6">
        <w:rPr>
          <w:b/>
        </w:rPr>
        <w:t>of ping-pongs</w:t>
      </w:r>
      <w:r w:rsidRPr="00E55E28">
        <w:rPr>
          <w:b/>
        </w:rPr>
        <w:t>.</w:t>
      </w:r>
    </w:p>
    <w:p w14:paraId="0FDCFAC2" w14:textId="17FCBA8A" w:rsidR="00CD4C7B" w:rsidRPr="006E13D1" w:rsidRDefault="00CD4C7B" w:rsidP="00CD4C7B">
      <w:pPr>
        <w:pStyle w:val="Heading1"/>
      </w:pPr>
      <w:bookmarkStart w:id="1" w:name="_GoBack"/>
      <w:bookmarkEnd w:id="1"/>
      <w:r w:rsidRPr="006E13D1">
        <w:t>References</w:t>
      </w:r>
    </w:p>
    <w:p w14:paraId="66D0088E" w14:textId="27CFEBD3" w:rsidR="00113A2E" w:rsidRDefault="00113A2E" w:rsidP="00150964">
      <w:pPr>
        <w:numPr>
          <w:ilvl w:val="0"/>
          <w:numId w:val="4"/>
        </w:numPr>
        <w:overflowPunct w:val="0"/>
        <w:autoSpaceDE w:val="0"/>
        <w:autoSpaceDN w:val="0"/>
        <w:adjustRightInd w:val="0"/>
        <w:textAlignment w:val="baseline"/>
      </w:pPr>
      <w:bookmarkStart w:id="2" w:name="_Ref527735128"/>
      <w:bookmarkStart w:id="3" w:name="_Ref75086397"/>
      <w:r w:rsidRPr="00317570">
        <w:t>R2-</w:t>
      </w:r>
      <w:r w:rsidR="00150964">
        <w:t>18</w:t>
      </w:r>
      <w:r>
        <w:t>15608,</w:t>
      </w:r>
      <w:r w:rsidRPr="006E13D1">
        <w:t xml:space="preserve"> </w:t>
      </w:r>
      <w:r w:rsidR="00150964" w:rsidRPr="00150964">
        <w:rPr>
          <w:i/>
          <w:iCs/>
        </w:rPr>
        <w:t>Report from break-out session on Rel-16 NR Industrial IoT SID and Rel-16 LTE even further mobility enhancements WID</w:t>
      </w:r>
      <w:r>
        <w:t xml:space="preserve"> – Nokia</w:t>
      </w:r>
      <w:bookmarkEnd w:id="2"/>
    </w:p>
    <w:p w14:paraId="2658F09A" w14:textId="63742DAC" w:rsidR="00113A2E" w:rsidRDefault="00113A2E" w:rsidP="00113A2E">
      <w:pPr>
        <w:numPr>
          <w:ilvl w:val="0"/>
          <w:numId w:val="4"/>
        </w:numPr>
        <w:overflowPunct w:val="0"/>
        <w:autoSpaceDE w:val="0"/>
        <w:autoSpaceDN w:val="0"/>
        <w:adjustRightInd w:val="0"/>
        <w:textAlignment w:val="baseline"/>
      </w:pPr>
      <w:bookmarkStart w:id="4" w:name="_Ref525555053"/>
      <w:bookmarkEnd w:id="3"/>
      <w:r>
        <w:t xml:space="preserve">H. Martikainen, I. Viering, A. Lobinger, T. Jokela, "On the Basics of Conditional Handover for 5G Mobility," </w:t>
      </w:r>
      <w:r w:rsidRPr="000961DE">
        <w:rPr>
          <w:i/>
        </w:rPr>
        <w:t>IEEE International Symposium on Personal, Indoor and Mobile Radio Communications (PIMRC)</w:t>
      </w:r>
      <w:r w:rsidR="001525B6">
        <w:t>, Bologna, Italy, September</w:t>
      </w:r>
      <w:r>
        <w:t xml:space="preserve"> 2018.</w:t>
      </w:r>
      <w:bookmarkEnd w:id="4"/>
    </w:p>
    <w:p w14:paraId="75E10D44" w14:textId="66082D9E" w:rsidR="00AC474D" w:rsidRDefault="00AC474D" w:rsidP="003E44CB">
      <w:pPr>
        <w:numPr>
          <w:ilvl w:val="0"/>
          <w:numId w:val="4"/>
        </w:numPr>
        <w:overflowPunct w:val="0"/>
        <w:autoSpaceDE w:val="0"/>
        <w:autoSpaceDN w:val="0"/>
        <w:adjustRightInd w:val="0"/>
        <w:textAlignment w:val="baseline"/>
      </w:pPr>
      <w:bookmarkStart w:id="5" w:name="_Ref528073680"/>
      <w:r>
        <w:t xml:space="preserve">5G PPP METIS </w:t>
      </w:r>
      <w:r w:rsidR="003E44CB">
        <w:t xml:space="preserve">Project, available at: </w:t>
      </w:r>
      <w:hyperlink r:id="rId15" w:history="1">
        <w:r w:rsidR="00EA756A" w:rsidRPr="005D05D9">
          <w:rPr>
            <w:rStyle w:val="Hyperlink"/>
          </w:rPr>
          <w:t>https://5g-ppp.eu/metis-ii/</w:t>
        </w:r>
      </w:hyperlink>
      <w:bookmarkEnd w:id="5"/>
    </w:p>
    <w:p w14:paraId="102AE9A3" w14:textId="3A58870E" w:rsidR="00EA756A" w:rsidRPr="006E13D1" w:rsidRDefault="00656352" w:rsidP="00656352">
      <w:pPr>
        <w:numPr>
          <w:ilvl w:val="0"/>
          <w:numId w:val="4"/>
        </w:numPr>
        <w:overflowPunct w:val="0"/>
        <w:autoSpaceDE w:val="0"/>
        <w:autoSpaceDN w:val="0"/>
        <w:adjustRightInd w:val="0"/>
        <w:textAlignment w:val="baseline"/>
      </w:pPr>
      <w:bookmarkStart w:id="6" w:name="_Ref528082783"/>
      <w:r>
        <w:t xml:space="preserve">TR 36.839, </w:t>
      </w:r>
      <w:r w:rsidRPr="00656352">
        <w:rPr>
          <w:i/>
        </w:rPr>
        <w:t>Evolved Universal Terrestrial Radio Access (E-UTRA); Mobility enhancements in heterogeneous networks</w:t>
      </w:r>
      <w:bookmarkEnd w:id="6"/>
    </w:p>
    <w:p w14:paraId="35F222F4" w14:textId="56BE5F36"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D26" w:rsidRDefault="00C90D26" w14:paraId="768F671E" w14:textId="77777777">
      <w:r>
        <w:separator/>
      </w:r>
    </w:p>
  </w:endnote>
  <w:endnote w:type="continuationSeparator" w:id="0">
    <w:p w:rsidR="00C90D26" w:rsidRDefault="00C90D26" w14:paraId="5439E39C" w14:textId="77777777">
      <w:r>
        <w:continuationSeparator/>
      </w:r>
    </w:p>
  </w:endnote>
  <w:endnote w:type="continuationNotice" w:id="1">
    <w:p w:rsidR="008E38F4" w:rsidRDefault="008E38F4" w14:paraId="1545A55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D26" w:rsidRDefault="00C90D26" w14:paraId="29EBB986" w14:textId="77777777">
      <w:r>
        <w:separator/>
      </w:r>
    </w:p>
  </w:footnote>
  <w:footnote w:type="continuationSeparator" w:id="0">
    <w:p w:rsidR="00C90D26" w:rsidRDefault="00C90D26" w14:paraId="4D856B7E" w14:textId="77777777">
      <w:r>
        <w:continuationSeparator/>
      </w:r>
    </w:p>
  </w:footnote>
  <w:footnote w:type="continuationNotice" w:id="1">
    <w:p w:rsidR="008E38F4" w:rsidRDefault="008E38F4" w14:paraId="61A2A2D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06476"/>
    <w:multiLevelType w:val="hybridMultilevel"/>
    <w:tmpl w:val="993C34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AF94D65"/>
    <w:multiLevelType w:val="hybridMultilevel"/>
    <w:tmpl w:val="CD7A6C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D4328AF"/>
    <w:multiLevelType w:val="hybridMultilevel"/>
    <w:tmpl w:val="F4E0F5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FEA5E5A"/>
    <w:multiLevelType w:val="hybridMultilevel"/>
    <w:tmpl w:val="F7063D9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BFC747A"/>
    <w:multiLevelType w:val="hybridMultilevel"/>
    <w:tmpl w:val="91FCD8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DCD17AA"/>
    <w:multiLevelType w:val="hybridMultilevel"/>
    <w:tmpl w:val="124ADD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161711B"/>
    <w:multiLevelType w:val="hybridMultilevel"/>
    <w:tmpl w:val="E96A2F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8D4384E"/>
    <w:multiLevelType w:val="hybridMultilevel"/>
    <w:tmpl w:val="790080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C1E7134"/>
    <w:multiLevelType w:val="hybridMultilevel"/>
    <w:tmpl w:val="43A21D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5"/>
  </w:num>
  <w:num w:numId="5">
    <w:abstractNumId w:val="3"/>
  </w:num>
  <w:num w:numId="6">
    <w:abstractNumId w:val="9"/>
  </w:num>
  <w:num w:numId="7">
    <w:abstractNumId w:val="10"/>
  </w:num>
  <w:num w:numId="8">
    <w:abstractNumId w:val="6"/>
  </w:num>
  <w:num w:numId="9">
    <w:abstractNumId w:val="7"/>
  </w:num>
  <w:num w:numId="10">
    <w:abstractNumId w:val="4"/>
  </w:num>
  <w:num w:numId="11">
    <w:abstractNumId w:val="8"/>
  </w:num>
  <w:num w:numId="12">
    <w:abstractNumId w:val="11"/>
  </w:num>
  <w:num w:numId="1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C2"/>
    <w:rsid w:val="0000346A"/>
    <w:rsid w:val="00033397"/>
    <w:rsid w:val="00040095"/>
    <w:rsid w:val="00052E9F"/>
    <w:rsid w:val="000639A6"/>
    <w:rsid w:val="00080512"/>
    <w:rsid w:val="00090468"/>
    <w:rsid w:val="000B6D1D"/>
    <w:rsid w:val="000B7BCF"/>
    <w:rsid w:val="000C522B"/>
    <w:rsid w:val="000D58AB"/>
    <w:rsid w:val="000F5D23"/>
    <w:rsid w:val="00112F1A"/>
    <w:rsid w:val="00113A2E"/>
    <w:rsid w:val="00145075"/>
    <w:rsid w:val="00150964"/>
    <w:rsid w:val="001525B6"/>
    <w:rsid w:val="001741A0"/>
    <w:rsid w:val="00175FA0"/>
    <w:rsid w:val="00193C19"/>
    <w:rsid w:val="00194CD0"/>
    <w:rsid w:val="001955C5"/>
    <w:rsid w:val="00196412"/>
    <w:rsid w:val="001A4A21"/>
    <w:rsid w:val="001B49C9"/>
    <w:rsid w:val="001B5055"/>
    <w:rsid w:val="001C1376"/>
    <w:rsid w:val="001C4F79"/>
    <w:rsid w:val="001E286F"/>
    <w:rsid w:val="001F168B"/>
    <w:rsid w:val="001F7831"/>
    <w:rsid w:val="00204045"/>
    <w:rsid w:val="0020712B"/>
    <w:rsid w:val="00220857"/>
    <w:rsid w:val="0022606D"/>
    <w:rsid w:val="00231728"/>
    <w:rsid w:val="002428B9"/>
    <w:rsid w:val="002610D8"/>
    <w:rsid w:val="002747EC"/>
    <w:rsid w:val="002770D4"/>
    <w:rsid w:val="002855BF"/>
    <w:rsid w:val="00295EB2"/>
    <w:rsid w:val="00295F4C"/>
    <w:rsid w:val="002B7CFD"/>
    <w:rsid w:val="002C6112"/>
    <w:rsid w:val="002F0D22"/>
    <w:rsid w:val="003101F0"/>
    <w:rsid w:val="00310241"/>
    <w:rsid w:val="003172DC"/>
    <w:rsid w:val="00317AC7"/>
    <w:rsid w:val="00325AE3"/>
    <w:rsid w:val="00326069"/>
    <w:rsid w:val="003454B1"/>
    <w:rsid w:val="00350853"/>
    <w:rsid w:val="0035462D"/>
    <w:rsid w:val="003630E3"/>
    <w:rsid w:val="00364B41"/>
    <w:rsid w:val="003A41EF"/>
    <w:rsid w:val="003B152A"/>
    <w:rsid w:val="003B40AD"/>
    <w:rsid w:val="003C4E37"/>
    <w:rsid w:val="003D5E08"/>
    <w:rsid w:val="003E16BE"/>
    <w:rsid w:val="003E1B01"/>
    <w:rsid w:val="003E44CB"/>
    <w:rsid w:val="003F4E28"/>
    <w:rsid w:val="004006E8"/>
    <w:rsid w:val="00401855"/>
    <w:rsid w:val="004078C9"/>
    <w:rsid w:val="0041047C"/>
    <w:rsid w:val="00414088"/>
    <w:rsid w:val="00444088"/>
    <w:rsid w:val="00445514"/>
    <w:rsid w:val="00473A1C"/>
    <w:rsid w:val="00476C6C"/>
    <w:rsid w:val="00477455"/>
    <w:rsid w:val="00484173"/>
    <w:rsid w:val="00493354"/>
    <w:rsid w:val="004A1F7B"/>
    <w:rsid w:val="004C2C27"/>
    <w:rsid w:val="004C3C37"/>
    <w:rsid w:val="004C44D2"/>
    <w:rsid w:val="004D3578"/>
    <w:rsid w:val="004D380D"/>
    <w:rsid w:val="004E213A"/>
    <w:rsid w:val="004F380C"/>
    <w:rsid w:val="00502E62"/>
    <w:rsid w:val="00503171"/>
    <w:rsid w:val="00506C28"/>
    <w:rsid w:val="00531008"/>
    <w:rsid w:val="00534DA0"/>
    <w:rsid w:val="00543E6C"/>
    <w:rsid w:val="00545D64"/>
    <w:rsid w:val="00556871"/>
    <w:rsid w:val="00565087"/>
    <w:rsid w:val="0056573F"/>
    <w:rsid w:val="00571C63"/>
    <w:rsid w:val="0058344A"/>
    <w:rsid w:val="005A1C12"/>
    <w:rsid w:val="005B680C"/>
    <w:rsid w:val="005C2C8C"/>
    <w:rsid w:val="005C7F0E"/>
    <w:rsid w:val="005D69D0"/>
    <w:rsid w:val="00611566"/>
    <w:rsid w:val="00627DCF"/>
    <w:rsid w:val="00634257"/>
    <w:rsid w:val="00646D99"/>
    <w:rsid w:val="00656352"/>
    <w:rsid w:val="00656910"/>
    <w:rsid w:val="0068719C"/>
    <w:rsid w:val="0069266C"/>
    <w:rsid w:val="006C4D88"/>
    <w:rsid w:val="006C66D8"/>
    <w:rsid w:val="006D1E24"/>
    <w:rsid w:val="006E1417"/>
    <w:rsid w:val="006F6A2C"/>
    <w:rsid w:val="00710201"/>
    <w:rsid w:val="0072480D"/>
    <w:rsid w:val="007258CD"/>
    <w:rsid w:val="007342B5"/>
    <w:rsid w:val="00734A5B"/>
    <w:rsid w:val="0074450F"/>
    <w:rsid w:val="00744E76"/>
    <w:rsid w:val="00757D40"/>
    <w:rsid w:val="007767EC"/>
    <w:rsid w:val="00781F0F"/>
    <w:rsid w:val="00785757"/>
    <w:rsid w:val="0078727C"/>
    <w:rsid w:val="0079049D"/>
    <w:rsid w:val="00793DC5"/>
    <w:rsid w:val="007B18D8"/>
    <w:rsid w:val="007C095F"/>
    <w:rsid w:val="007C2DD0"/>
    <w:rsid w:val="007F0C5D"/>
    <w:rsid w:val="007F5B21"/>
    <w:rsid w:val="008028A4"/>
    <w:rsid w:val="00810D33"/>
    <w:rsid w:val="00812B45"/>
    <w:rsid w:val="00813245"/>
    <w:rsid w:val="0085229B"/>
    <w:rsid w:val="00856F5C"/>
    <w:rsid w:val="00862442"/>
    <w:rsid w:val="00864A02"/>
    <w:rsid w:val="00867406"/>
    <w:rsid w:val="008713F4"/>
    <w:rsid w:val="008768CA"/>
    <w:rsid w:val="00877EF9"/>
    <w:rsid w:val="00880559"/>
    <w:rsid w:val="00895A10"/>
    <w:rsid w:val="008B5306"/>
    <w:rsid w:val="008C5B31"/>
    <w:rsid w:val="008D2E4D"/>
    <w:rsid w:val="008E38F4"/>
    <w:rsid w:val="008F271E"/>
    <w:rsid w:val="008F396F"/>
    <w:rsid w:val="00901BF0"/>
    <w:rsid w:val="0090271F"/>
    <w:rsid w:val="00902DB9"/>
    <w:rsid w:val="0090466A"/>
    <w:rsid w:val="00936071"/>
    <w:rsid w:val="00940212"/>
    <w:rsid w:val="00942EC2"/>
    <w:rsid w:val="0095522C"/>
    <w:rsid w:val="00961B32"/>
    <w:rsid w:val="00970DB3"/>
    <w:rsid w:val="00974BB0"/>
    <w:rsid w:val="009828C4"/>
    <w:rsid w:val="0099257A"/>
    <w:rsid w:val="009A0AF3"/>
    <w:rsid w:val="009B07CD"/>
    <w:rsid w:val="009B19FB"/>
    <w:rsid w:val="009C19E9"/>
    <w:rsid w:val="009D571B"/>
    <w:rsid w:val="009D74A6"/>
    <w:rsid w:val="00A10F02"/>
    <w:rsid w:val="00A10F5A"/>
    <w:rsid w:val="00A204CA"/>
    <w:rsid w:val="00A521C4"/>
    <w:rsid w:val="00A53724"/>
    <w:rsid w:val="00A70D71"/>
    <w:rsid w:val="00A82346"/>
    <w:rsid w:val="00A9671C"/>
    <w:rsid w:val="00AA1553"/>
    <w:rsid w:val="00AB7C1A"/>
    <w:rsid w:val="00AC474D"/>
    <w:rsid w:val="00AD6BA6"/>
    <w:rsid w:val="00AE6FEB"/>
    <w:rsid w:val="00AE7BFB"/>
    <w:rsid w:val="00B05962"/>
    <w:rsid w:val="00B15449"/>
    <w:rsid w:val="00B236E9"/>
    <w:rsid w:val="00B27303"/>
    <w:rsid w:val="00B30466"/>
    <w:rsid w:val="00B40469"/>
    <w:rsid w:val="00B46141"/>
    <w:rsid w:val="00B47FD1"/>
    <w:rsid w:val="00B516BB"/>
    <w:rsid w:val="00B865EF"/>
    <w:rsid w:val="00BC3555"/>
    <w:rsid w:val="00BE29EA"/>
    <w:rsid w:val="00BE4213"/>
    <w:rsid w:val="00C12B51"/>
    <w:rsid w:val="00C24650"/>
    <w:rsid w:val="00C25465"/>
    <w:rsid w:val="00C272F7"/>
    <w:rsid w:val="00C33079"/>
    <w:rsid w:val="00C478D5"/>
    <w:rsid w:val="00C83A13"/>
    <w:rsid w:val="00C9068C"/>
    <w:rsid w:val="00C90D26"/>
    <w:rsid w:val="00C92967"/>
    <w:rsid w:val="00CA0AB6"/>
    <w:rsid w:val="00CA3D0C"/>
    <w:rsid w:val="00CA654B"/>
    <w:rsid w:val="00CB0559"/>
    <w:rsid w:val="00CB72B8"/>
    <w:rsid w:val="00CD4C7B"/>
    <w:rsid w:val="00D03604"/>
    <w:rsid w:val="00D204EC"/>
    <w:rsid w:val="00D21C32"/>
    <w:rsid w:val="00D33BE3"/>
    <w:rsid w:val="00D36033"/>
    <w:rsid w:val="00D367DE"/>
    <w:rsid w:val="00D3792D"/>
    <w:rsid w:val="00D55E47"/>
    <w:rsid w:val="00D566F5"/>
    <w:rsid w:val="00D62E19"/>
    <w:rsid w:val="00D67CD1"/>
    <w:rsid w:val="00D738D6"/>
    <w:rsid w:val="00D7690A"/>
    <w:rsid w:val="00D80795"/>
    <w:rsid w:val="00D854BE"/>
    <w:rsid w:val="00D87E00"/>
    <w:rsid w:val="00D9134D"/>
    <w:rsid w:val="00D96D11"/>
    <w:rsid w:val="00DA096C"/>
    <w:rsid w:val="00DA7A03"/>
    <w:rsid w:val="00DB0DB8"/>
    <w:rsid w:val="00DB1818"/>
    <w:rsid w:val="00DC309B"/>
    <w:rsid w:val="00DC4DA2"/>
    <w:rsid w:val="00E103D3"/>
    <w:rsid w:val="00E27E9D"/>
    <w:rsid w:val="00E321A5"/>
    <w:rsid w:val="00E471CF"/>
    <w:rsid w:val="00E52A16"/>
    <w:rsid w:val="00E55E28"/>
    <w:rsid w:val="00E62835"/>
    <w:rsid w:val="00E761F1"/>
    <w:rsid w:val="00E77645"/>
    <w:rsid w:val="00E83697"/>
    <w:rsid w:val="00E94A18"/>
    <w:rsid w:val="00EA39ED"/>
    <w:rsid w:val="00EA756A"/>
    <w:rsid w:val="00EB4C6D"/>
    <w:rsid w:val="00EC4A25"/>
    <w:rsid w:val="00EC6C2B"/>
    <w:rsid w:val="00ED4E2A"/>
    <w:rsid w:val="00F025A2"/>
    <w:rsid w:val="00F07388"/>
    <w:rsid w:val="00F12A89"/>
    <w:rsid w:val="00F2026E"/>
    <w:rsid w:val="00F2210A"/>
    <w:rsid w:val="00F237AB"/>
    <w:rsid w:val="00F37743"/>
    <w:rsid w:val="00F54A3D"/>
    <w:rsid w:val="00F54CB0"/>
    <w:rsid w:val="00F65334"/>
    <w:rsid w:val="00F653B8"/>
    <w:rsid w:val="00F71B89"/>
    <w:rsid w:val="00F7353C"/>
    <w:rsid w:val="00F76F8F"/>
    <w:rsid w:val="00F941DF"/>
    <w:rsid w:val="00FA0D2C"/>
    <w:rsid w:val="00FA1266"/>
    <w:rsid w:val="00FB36FA"/>
    <w:rsid w:val="00FC1192"/>
    <w:rsid w:val="00FC4BFE"/>
    <w:rsid w:val="00FD41C7"/>
    <w:rsid w:val="00FE0288"/>
    <w:rsid w:val="00FE251B"/>
    <w:rsid w:val="3223E2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21C4"/>
    <w:pPr>
      <w:ind w:left="720"/>
      <w:contextualSpacing/>
    </w:pPr>
  </w:style>
  <w:style w:type="table" w:styleId="TableGrid">
    <w:name w:val="Table Grid"/>
    <w:basedOn w:val="TableNormal"/>
    <w:rsid w:val="00113A2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oc-text2Char" w:customStyle="1">
    <w:name w:val="Doc-text2 Char"/>
    <w:link w:val="Doc-text2"/>
    <w:locked/>
    <w:rsid w:val="00113A2E"/>
    <w:rPr>
      <w:rFonts w:ascii="Arial" w:hAnsi="Arial" w:eastAsia="MS Mincho" w:cs="Arial"/>
      <w:szCs w:val="24"/>
    </w:rPr>
  </w:style>
  <w:style w:type="paragraph" w:styleId="Doc-text2" w:customStyle="1">
    <w:name w:val="Doc-text2"/>
    <w:basedOn w:val="Normal"/>
    <w:link w:val="Doc-text2Char"/>
    <w:qFormat/>
    <w:rsid w:val="00113A2E"/>
    <w:pPr>
      <w:tabs>
        <w:tab w:val="left" w:pos="1622"/>
      </w:tabs>
      <w:spacing w:after="0"/>
      <w:ind w:left="1622" w:hanging="363"/>
    </w:pPr>
    <w:rPr>
      <w:rFonts w:ascii="Arial" w:hAnsi="Arial" w:eastAsia="MS Mincho" w:cs="Arial"/>
      <w:szCs w:val="24"/>
      <w:lang w:eastAsia="en-GB"/>
    </w:rPr>
  </w:style>
  <w:style w:type="paragraph" w:styleId="CommentText">
    <w:name w:val="annotation text"/>
    <w:basedOn w:val="Normal"/>
    <w:link w:val="CommentTextChar"/>
  </w:style>
  <w:style w:type="character" w:styleId="CommentTextChar" w:customStyle="1">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7AC7"/>
    <w:rPr>
      <w:b/>
      <w:bCs/>
    </w:rPr>
  </w:style>
  <w:style w:type="character" w:styleId="CommentSubjectChar" w:customStyle="1">
    <w:name w:val="Comment Subject Char"/>
    <w:basedOn w:val="CommentTextChar"/>
    <w:link w:val="CommentSubject"/>
    <w:rsid w:val="00317AC7"/>
    <w:rPr>
      <w:b/>
      <w:bCs/>
      <w:lang w:eastAsia="en-US"/>
    </w:rPr>
  </w:style>
  <w:style w:type="character" w:styleId="UnresolvedMention">
    <w:name w:val="Unresolved Mention"/>
    <w:basedOn w:val="DefaultParagraphFont"/>
    <w:rsid w:val="00EA75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894">
      <w:bodyDiv w:val="1"/>
      <w:marLeft w:val="0"/>
      <w:marRight w:val="0"/>
      <w:marTop w:val="0"/>
      <w:marBottom w:val="0"/>
      <w:divBdr>
        <w:top w:val="none" w:sz="0" w:space="0" w:color="auto"/>
        <w:left w:val="none" w:sz="0" w:space="0" w:color="auto"/>
        <w:bottom w:val="none" w:sz="0" w:space="0" w:color="auto"/>
        <w:right w:val="none" w:sz="0" w:space="0" w:color="auto"/>
      </w:divBdr>
    </w:div>
    <w:div w:id="653602814">
      <w:bodyDiv w:val="1"/>
      <w:marLeft w:val="0"/>
      <w:marRight w:val="0"/>
      <w:marTop w:val="0"/>
      <w:marBottom w:val="0"/>
      <w:divBdr>
        <w:top w:val="none" w:sz="0" w:space="0" w:color="auto"/>
        <w:left w:val="none" w:sz="0" w:space="0" w:color="auto"/>
        <w:bottom w:val="none" w:sz="0" w:space="0" w:color="auto"/>
        <w:right w:val="none" w:sz="0" w:space="0" w:color="auto"/>
      </w:divBdr>
    </w:div>
    <w:div w:id="8759640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638761">
      <w:bodyDiv w:val="1"/>
      <w:marLeft w:val="0"/>
      <w:marRight w:val="0"/>
      <w:marTop w:val="0"/>
      <w:marBottom w:val="0"/>
      <w:divBdr>
        <w:top w:val="none" w:sz="0" w:space="0" w:color="auto"/>
        <w:left w:val="none" w:sz="0" w:space="0" w:color="auto"/>
        <w:bottom w:val="none" w:sz="0" w:space="0" w:color="auto"/>
        <w:right w:val="none" w:sz="0" w:space="0" w:color="auto"/>
      </w:divBdr>
    </w:div>
    <w:div w:id="190548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5g-ppp.eu/metis-ii/"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5AIRPNAIUNRU-859666464-4012</_dlc_DocId>
    <_dlc_DocIdUrl xmlns="71c5aaf6-e6ce-465b-b873-5148d2a4c105">
      <Url>https://nokia.sharepoint.com/sites/c5g/e2earch/_layouts/15/DocIdRedir.aspx?ID=5AIRPNAIUNRU-859666464-4012</Url>
      <Description>5AIRPNAIUNRU-859666464-4012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3AE2DF6-90CD-4908-96AD-7F68C660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1753</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43</cp:revision>
  <dcterms:created xsi:type="dcterms:W3CDTF">2018-10-23T14:28:00Z</dcterms:created>
  <dcterms:modified xsi:type="dcterms:W3CDTF">2018-11-01T19:31:00Z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fe29f1fb-a7a7-407a-8754-45a130915d05</vt:lpwstr>
  </property>
</Properties>
</file>